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Default="00E6179D" w:rsidP="00E6179D">
      <w:pPr>
        <w:spacing w:after="0" w:line="360" w:lineRule="auto"/>
        <w:jc w:val="both"/>
        <w:rPr>
          <w:rFonts w:ascii="Palatino Linotype" w:hAnsi="Palatino Linotype"/>
          <w:b/>
        </w:rPr>
      </w:pPr>
      <w:r w:rsidRPr="00427B79">
        <w:rPr>
          <w:rFonts w:ascii="Palatino Linotype" w:eastAsia="Calibri" w:hAnsi="Palatino Linotype" w:cs="Arial"/>
          <w:b/>
          <w:sz w:val="24"/>
          <w:szCs w:val="24"/>
        </w:rPr>
        <w:t xml:space="preserve">VOTO PARTICULAR DEL COMISIONADO JOSÉ GUADALUPE LUNA </w:t>
      </w:r>
      <w:r w:rsidRPr="009175F3">
        <w:rPr>
          <w:rFonts w:ascii="Palatino Linotype" w:eastAsia="Calibri" w:hAnsi="Palatino Linotype" w:cs="Arial"/>
          <w:b/>
          <w:sz w:val="24"/>
          <w:szCs w:val="24"/>
        </w:rPr>
        <w:t xml:space="preserve">HERNÁNDEZ EN EL RECURSO DE REVISIÓN </w:t>
      </w:r>
      <w:r w:rsidR="009175F3" w:rsidRPr="009175F3">
        <w:rPr>
          <w:rFonts w:ascii="Palatino Linotype" w:hAnsi="Palatino Linotype"/>
          <w:b/>
          <w:sz w:val="24"/>
          <w:szCs w:val="24"/>
        </w:rPr>
        <w:t>02380</w:t>
      </w:r>
      <w:r w:rsidR="00C43E73" w:rsidRPr="009175F3">
        <w:rPr>
          <w:rFonts w:ascii="Palatino Linotype" w:hAnsi="Palatino Linotype" w:cs="Arial"/>
          <w:b/>
          <w:bCs/>
          <w:sz w:val="24"/>
          <w:szCs w:val="24"/>
        </w:rPr>
        <w:t>/INFOEM/IP/RR/2018</w:t>
      </w:r>
      <w:r w:rsidR="004D1869">
        <w:rPr>
          <w:rFonts w:ascii="Palatino Linotype" w:hAnsi="Palatino Linotype"/>
          <w:b/>
        </w:rPr>
        <w:t>.</w:t>
      </w:r>
    </w:p>
    <w:p w:rsidR="009175F3" w:rsidRPr="004D1869" w:rsidRDefault="009175F3" w:rsidP="00E6179D">
      <w:pPr>
        <w:spacing w:after="0" w:line="360" w:lineRule="auto"/>
        <w:jc w:val="both"/>
        <w:rPr>
          <w:rFonts w:ascii="Palatino Linotype" w:eastAsia="Calibri" w:hAnsi="Palatino Linotype" w:cs="Arial"/>
          <w:b/>
          <w:bCs/>
          <w:sz w:val="24"/>
          <w:szCs w:val="24"/>
          <w:lang w:eastAsia="es-MX"/>
        </w:rPr>
      </w:pP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9D3396"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w:t>
      </w:r>
      <w:r w:rsidR="009D3396">
        <w:rPr>
          <w:rFonts w:ascii="Palatino Linotype" w:eastAsia="Calibri" w:hAnsi="Palatino Linotype" w:cs="Arial"/>
          <w:sz w:val="24"/>
          <w:szCs w:val="24"/>
        </w:rPr>
        <w:t xml:space="preserve">Para satisfacer plenamente el derecho de acceso a la información pública, el Instituto de Transparencia, Acceso a la Información Pública y Protección de Datos Personales del Estado de México y Municipios debe velar por que los Sujetos Obligados respeten y se rijan por los principios de simplicidad, rapidez, </w:t>
      </w:r>
      <w:r w:rsidR="009D3396">
        <w:rPr>
          <w:rFonts w:ascii="Palatino Linotype" w:eastAsia="Calibri" w:hAnsi="Palatino Linotype" w:cs="Arial"/>
          <w:b/>
          <w:i/>
          <w:sz w:val="24"/>
          <w:szCs w:val="24"/>
        </w:rPr>
        <w:t>gratuidad</w:t>
      </w:r>
      <w:r w:rsidR="009D3396">
        <w:rPr>
          <w:rFonts w:ascii="Palatino Linotype" w:eastAsia="Calibri" w:hAnsi="Palatino Linotype" w:cs="Arial"/>
          <w:sz w:val="24"/>
          <w:szCs w:val="24"/>
        </w:rPr>
        <w:t>, así como auxilio y orientación a los particulares con el propósito de otorgar la protección más amplia del derecho humano de las personas.</w:t>
      </w:r>
    </w:p>
    <w:p w:rsidR="00E6179D" w:rsidRDefault="00E6179D"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9175F3" w:rsidRDefault="009175F3"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E6179D" w:rsidRPr="00931CD6" w:rsidRDefault="00E6179D" w:rsidP="00B73B30">
      <w:pPr>
        <w:pStyle w:val="TtulodeTDC"/>
        <w:spacing w:line="360" w:lineRule="auto"/>
        <w:rPr>
          <w:rFonts w:cs="Arial"/>
          <w:b w:val="0"/>
          <w:color w:val="auto"/>
          <w:szCs w:val="24"/>
        </w:rPr>
      </w:pPr>
      <w:r w:rsidRPr="00931CD6">
        <w:rPr>
          <w:rFonts w:cs="Arial"/>
          <w:color w:val="auto"/>
          <w:szCs w:val="24"/>
        </w:rPr>
        <w:lastRenderedPageBreak/>
        <w:t>Índice</w:t>
      </w:r>
      <w:r w:rsidR="00B73B30" w:rsidRPr="00931CD6">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17117E" w:rsidRPr="00931CD6" w:rsidRDefault="00E6179D">
          <w:pPr>
            <w:pStyle w:val="TDC1"/>
            <w:rPr>
              <w:rFonts w:eastAsiaTheme="minorEastAsia"/>
              <w:b w:val="0"/>
              <w:sz w:val="24"/>
              <w:szCs w:val="24"/>
              <w:lang w:val="es-ES" w:eastAsia="es-ES"/>
            </w:rPr>
          </w:pPr>
          <w:r w:rsidRPr="00931CD6">
            <w:rPr>
              <w:b w:val="0"/>
              <w:sz w:val="24"/>
              <w:szCs w:val="24"/>
            </w:rPr>
            <w:fldChar w:fldCharType="begin"/>
          </w:r>
          <w:r w:rsidRPr="00931CD6">
            <w:rPr>
              <w:sz w:val="24"/>
              <w:szCs w:val="24"/>
            </w:rPr>
            <w:instrText xml:space="preserve"> TOC \o "1-3" \h \z \u </w:instrText>
          </w:r>
          <w:r w:rsidRPr="00931CD6">
            <w:rPr>
              <w:b w:val="0"/>
              <w:sz w:val="24"/>
              <w:szCs w:val="24"/>
            </w:rPr>
            <w:fldChar w:fldCharType="separate"/>
          </w:r>
          <w:hyperlink w:anchor="_Toc516449141" w:history="1">
            <w:r w:rsidR="0017117E" w:rsidRPr="00931CD6">
              <w:rPr>
                <w:rStyle w:val="Hipervnculo"/>
                <w:rFonts w:eastAsia="Times New Roman"/>
                <w:sz w:val="24"/>
                <w:szCs w:val="24"/>
              </w:rPr>
              <w:t>I.</w:t>
            </w:r>
            <w:r w:rsidR="0017117E" w:rsidRPr="00931CD6">
              <w:rPr>
                <w:rFonts w:eastAsiaTheme="minorEastAsia"/>
                <w:b w:val="0"/>
                <w:sz w:val="24"/>
                <w:szCs w:val="24"/>
                <w:lang w:val="es-ES" w:eastAsia="es-ES"/>
              </w:rPr>
              <w:tab/>
            </w:r>
            <w:r w:rsidR="0017117E" w:rsidRPr="00931CD6">
              <w:rPr>
                <w:rStyle w:val="Hipervnculo"/>
                <w:rFonts w:eastAsia="Times New Roman"/>
                <w:sz w:val="24"/>
                <w:szCs w:val="24"/>
              </w:rPr>
              <w:t>Consideraciones Generales</w:t>
            </w:r>
            <w:r w:rsidR="0017117E" w:rsidRPr="00931CD6">
              <w:rPr>
                <w:webHidden/>
                <w:sz w:val="24"/>
                <w:szCs w:val="24"/>
              </w:rPr>
              <w:tab/>
            </w:r>
            <w:r w:rsidR="0017117E" w:rsidRPr="00931CD6">
              <w:rPr>
                <w:webHidden/>
                <w:sz w:val="24"/>
                <w:szCs w:val="24"/>
              </w:rPr>
              <w:fldChar w:fldCharType="begin"/>
            </w:r>
            <w:r w:rsidR="0017117E" w:rsidRPr="00931CD6">
              <w:rPr>
                <w:webHidden/>
                <w:sz w:val="24"/>
                <w:szCs w:val="24"/>
              </w:rPr>
              <w:instrText xml:space="preserve"> PAGEREF _Toc516449141 \h </w:instrText>
            </w:r>
            <w:r w:rsidR="0017117E" w:rsidRPr="00931CD6">
              <w:rPr>
                <w:webHidden/>
                <w:sz w:val="24"/>
                <w:szCs w:val="24"/>
              </w:rPr>
            </w:r>
            <w:r w:rsidR="0017117E" w:rsidRPr="00931CD6">
              <w:rPr>
                <w:webHidden/>
                <w:sz w:val="24"/>
                <w:szCs w:val="24"/>
              </w:rPr>
              <w:fldChar w:fldCharType="separate"/>
            </w:r>
            <w:r w:rsidR="006461FB">
              <w:rPr>
                <w:webHidden/>
                <w:sz w:val="24"/>
                <w:szCs w:val="24"/>
              </w:rPr>
              <w:t>3</w:t>
            </w:r>
            <w:r w:rsidR="0017117E" w:rsidRPr="00931CD6">
              <w:rPr>
                <w:webHidden/>
                <w:sz w:val="24"/>
                <w:szCs w:val="24"/>
              </w:rPr>
              <w:fldChar w:fldCharType="end"/>
            </w:r>
          </w:hyperlink>
        </w:p>
        <w:p w:rsidR="0017117E" w:rsidRPr="00931CD6" w:rsidRDefault="000E014C">
          <w:pPr>
            <w:pStyle w:val="TDC1"/>
            <w:rPr>
              <w:rFonts w:eastAsiaTheme="minorEastAsia"/>
              <w:b w:val="0"/>
              <w:sz w:val="24"/>
              <w:szCs w:val="24"/>
              <w:lang w:val="es-ES" w:eastAsia="es-ES"/>
            </w:rPr>
          </w:pPr>
          <w:hyperlink w:anchor="_Toc516449142" w:history="1">
            <w:r w:rsidR="0017117E" w:rsidRPr="00931CD6">
              <w:rPr>
                <w:rStyle w:val="Hipervnculo"/>
                <w:rFonts w:eastAsia="Calibri"/>
                <w:sz w:val="24"/>
                <w:szCs w:val="24"/>
                <w:lang w:val="es-ES"/>
              </w:rPr>
              <w:t>II.</w:t>
            </w:r>
            <w:r w:rsidR="0017117E" w:rsidRPr="00931CD6">
              <w:rPr>
                <w:rFonts w:eastAsiaTheme="minorEastAsia"/>
                <w:b w:val="0"/>
                <w:sz w:val="24"/>
                <w:szCs w:val="24"/>
                <w:lang w:val="es-ES" w:eastAsia="es-ES"/>
              </w:rPr>
              <w:tab/>
            </w:r>
            <w:r w:rsidR="0017117E" w:rsidRPr="00931CD6">
              <w:rPr>
                <w:rStyle w:val="Hipervnculo"/>
                <w:rFonts w:eastAsia="Calibri"/>
                <w:sz w:val="24"/>
                <w:szCs w:val="24"/>
                <w:lang w:val="es-ES"/>
              </w:rPr>
              <w:t>De los requerimientos planteados en el recurso de revisión.</w:t>
            </w:r>
            <w:r w:rsidR="0017117E" w:rsidRPr="00931CD6">
              <w:rPr>
                <w:webHidden/>
                <w:sz w:val="24"/>
                <w:szCs w:val="24"/>
              </w:rPr>
              <w:tab/>
            </w:r>
            <w:r w:rsidR="0017117E" w:rsidRPr="00931CD6">
              <w:rPr>
                <w:webHidden/>
                <w:sz w:val="24"/>
                <w:szCs w:val="24"/>
              </w:rPr>
              <w:fldChar w:fldCharType="begin"/>
            </w:r>
            <w:r w:rsidR="0017117E" w:rsidRPr="00931CD6">
              <w:rPr>
                <w:webHidden/>
                <w:sz w:val="24"/>
                <w:szCs w:val="24"/>
              </w:rPr>
              <w:instrText xml:space="preserve"> PAGEREF _Toc516449142 \h </w:instrText>
            </w:r>
            <w:r w:rsidR="0017117E" w:rsidRPr="00931CD6">
              <w:rPr>
                <w:webHidden/>
                <w:sz w:val="24"/>
                <w:szCs w:val="24"/>
              </w:rPr>
            </w:r>
            <w:r w:rsidR="0017117E" w:rsidRPr="00931CD6">
              <w:rPr>
                <w:webHidden/>
                <w:sz w:val="24"/>
                <w:szCs w:val="24"/>
              </w:rPr>
              <w:fldChar w:fldCharType="separate"/>
            </w:r>
            <w:r w:rsidR="006461FB">
              <w:rPr>
                <w:webHidden/>
                <w:sz w:val="24"/>
                <w:szCs w:val="24"/>
              </w:rPr>
              <w:t>4</w:t>
            </w:r>
            <w:r w:rsidR="0017117E" w:rsidRPr="00931CD6">
              <w:rPr>
                <w:webHidden/>
                <w:sz w:val="24"/>
                <w:szCs w:val="24"/>
              </w:rPr>
              <w:fldChar w:fldCharType="end"/>
            </w:r>
          </w:hyperlink>
        </w:p>
        <w:p w:rsidR="0017117E" w:rsidRPr="00931CD6" w:rsidRDefault="000E014C">
          <w:pPr>
            <w:pStyle w:val="TDC2"/>
            <w:rPr>
              <w:rFonts w:ascii="Palatino Linotype" w:eastAsiaTheme="minorEastAsia" w:hAnsi="Palatino Linotype"/>
              <w:noProof/>
              <w:sz w:val="24"/>
              <w:szCs w:val="24"/>
              <w:lang w:val="es-ES" w:eastAsia="es-ES"/>
            </w:rPr>
          </w:pPr>
          <w:hyperlink w:anchor="_Toc516449143" w:history="1">
            <w:r w:rsidR="0017117E" w:rsidRPr="00931CD6">
              <w:rPr>
                <w:rStyle w:val="Hipervnculo"/>
                <w:rFonts w:ascii="Palatino Linotype" w:hAnsi="Palatino Linotype"/>
                <w:b/>
                <w:noProof/>
                <w:sz w:val="24"/>
                <w:szCs w:val="24"/>
              </w:rPr>
              <w:t>III. Del Derecho de Acceso a la información pública y el deber de motivar.</w:t>
            </w:r>
            <w:r w:rsidR="0017117E" w:rsidRPr="00931CD6">
              <w:rPr>
                <w:rFonts w:ascii="Palatino Linotype" w:hAnsi="Palatino Linotype"/>
                <w:noProof/>
                <w:webHidden/>
                <w:sz w:val="24"/>
                <w:szCs w:val="24"/>
              </w:rPr>
              <w:tab/>
            </w:r>
            <w:r w:rsidR="00931CD6">
              <w:rPr>
                <w:rFonts w:ascii="Palatino Linotype" w:hAnsi="Palatino Linotype"/>
                <w:b/>
                <w:noProof/>
                <w:webHidden/>
                <w:sz w:val="24"/>
                <w:szCs w:val="24"/>
              </w:rPr>
              <w:t>7</w:t>
            </w:r>
          </w:hyperlink>
        </w:p>
        <w:p w:rsidR="0017117E" w:rsidRPr="00931CD6" w:rsidRDefault="000E014C">
          <w:pPr>
            <w:pStyle w:val="TDC1"/>
            <w:rPr>
              <w:rFonts w:eastAsiaTheme="minorEastAsia"/>
              <w:b w:val="0"/>
              <w:sz w:val="24"/>
              <w:szCs w:val="24"/>
              <w:lang w:val="es-ES" w:eastAsia="es-ES"/>
            </w:rPr>
          </w:pPr>
          <w:hyperlink w:anchor="_Toc516449144" w:history="1">
            <w:r w:rsidR="0017117E" w:rsidRPr="00931CD6">
              <w:rPr>
                <w:rStyle w:val="Hipervnculo"/>
                <w:rFonts w:eastAsia="Calibri"/>
                <w:sz w:val="24"/>
                <w:szCs w:val="24"/>
              </w:rPr>
              <w:t>IV. Del Principio de Gratuidad</w:t>
            </w:r>
            <w:r w:rsidR="0017117E" w:rsidRPr="00931CD6">
              <w:rPr>
                <w:webHidden/>
                <w:sz w:val="24"/>
                <w:szCs w:val="24"/>
              </w:rPr>
              <w:tab/>
            </w:r>
            <w:r w:rsidR="0017117E" w:rsidRPr="00931CD6">
              <w:rPr>
                <w:webHidden/>
                <w:sz w:val="24"/>
                <w:szCs w:val="24"/>
              </w:rPr>
              <w:fldChar w:fldCharType="begin"/>
            </w:r>
            <w:r w:rsidR="0017117E" w:rsidRPr="00931CD6">
              <w:rPr>
                <w:webHidden/>
                <w:sz w:val="24"/>
                <w:szCs w:val="24"/>
              </w:rPr>
              <w:instrText xml:space="preserve"> PAGEREF _Toc516449144 \h </w:instrText>
            </w:r>
            <w:r w:rsidR="0017117E" w:rsidRPr="00931CD6">
              <w:rPr>
                <w:webHidden/>
                <w:sz w:val="24"/>
                <w:szCs w:val="24"/>
              </w:rPr>
            </w:r>
            <w:r w:rsidR="0017117E" w:rsidRPr="00931CD6">
              <w:rPr>
                <w:webHidden/>
                <w:sz w:val="24"/>
                <w:szCs w:val="24"/>
              </w:rPr>
              <w:fldChar w:fldCharType="separate"/>
            </w:r>
            <w:r w:rsidR="006461FB">
              <w:rPr>
                <w:webHidden/>
                <w:sz w:val="24"/>
                <w:szCs w:val="24"/>
              </w:rPr>
              <w:t>11</w:t>
            </w:r>
            <w:r w:rsidR="0017117E" w:rsidRPr="00931CD6">
              <w:rPr>
                <w:webHidden/>
                <w:sz w:val="24"/>
                <w:szCs w:val="24"/>
              </w:rPr>
              <w:fldChar w:fldCharType="end"/>
            </w:r>
          </w:hyperlink>
        </w:p>
        <w:p w:rsidR="0017117E" w:rsidRPr="00931CD6" w:rsidRDefault="000E014C">
          <w:pPr>
            <w:pStyle w:val="TDC1"/>
            <w:rPr>
              <w:rFonts w:eastAsiaTheme="minorEastAsia"/>
              <w:b w:val="0"/>
              <w:sz w:val="24"/>
              <w:szCs w:val="24"/>
              <w:lang w:val="es-ES" w:eastAsia="es-ES"/>
            </w:rPr>
          </w:pPr>
          <w:hyperlink w:anchor="_Toc516449145" w:history="1">
            <w:r w:rsidR="0017117E" w:rsidRPr="00931CD6">
              <w:rPr>
                <w:rStyle w:val="Hipervnculo"/>
                <w:rFonts w:cs="Arial"/>
                <w:bCs/>
                <w:sz w:val="24"/>
                <w:szCs w:val="24"/>
              </w:rPr>
              <w:t xml:space="preserve">V. Del principio </w:t>
            </w:r>
            <w:r w:rsidR="0017117E" w:rsidRPr="00931CD6">
              <w:rPr>
                <w:rStyle w:val="Hipervnculo"/>
                <w:rFonts w:cs="Arial"/>
                <w:bCs/>
                <w:i/>
                <w:sz w:val="24"/>
                <w:szCs w:val="24"/>
              </w:rPr>
              <w:t>pro persona.</w:t>
            </w:r>
            <w:r w:rsidR="0017117E" w:rsidRPr="00931CD6">
              <w:rPr>
                <w:webHidden/>
                <w:sz w:val="24"/>
                <w:szCs w:val="24"/>
              </w:rPr>
              <w:tab/>
            </w:r>
            <w:r w:rsidR="0017117E" w:rsidRPr="00931CD6">
              <w:rPr>
                <w:webHidden/>
                <w:sz w:val="24"/>
                <w:szCs w:val="24"/>
              </w:rPr>
              <w:fldChar w:fldCharType="begin"/>
            </w:r>
            <w:r w:rsidR="0017117E" w:rsidRPr="00931CD6">
              <w:rPr>
                <w:webHidden/>
                <w:sz w:val="24"/>
                <w:szCs w:val="24"/>
              </w:rPr>
              <w:instrText xml:space="preserve"> PAGEREF _Toc516449145 \h </w:instrText>
            </w:r>
            <w:r w:rsidR="0017117E" w:rsidRPr="00931CD6">
              <w:rPr>
                <w:webHidden/>
                <w:sz w:val="24"/>
                <w:szCs w:val="24"/>
              </w:rPr>
            </w:r>
            <w:r w:rsidR="0017117E" w:rsidRPr="00931CD6">
              <w:rPr>
                <w:webHidden/>
                <w:sz w:val="24"/>
                <w:szCs w:val="24"/>
              </w:rPr>
              <w:fldChar w:fldCharType="separate"/>
            </w:r>
            <w:r w:rsidR="006461FB">
              <w:rPr>
                <w:webHidden/>
                <w:sz w:val="24"/>
                <w:szCs w:val="24"/>
              </w:rPr>
              <w:t>17</w:t>
            </w:r>
            <w:r w:rsidR="0017117E" w:rsidRPr="00931CD6">
              <w:rPr>
                <w:webHidden/>
                <w:sz w:val="24"/>
                <w:szCs w:val="24"/>
              </w:rPr>
              <w:fldChar w:fldCharType="end"/>
            </w:r>
          </w:hyperlink>
        </w:p>
        <w:p w:rsidR="0017117E" w:rsidRPr="00931CD6" w:rsidRDefault="000E014C">
          <w:pPr>
            <w:pStyle w:val="TDC1"/>
            <w:rPr>
              <w:rFonts w:eastAsiaTheme="minorEastAsia"/>
              <w:b w:val="0"/>
              <w:sz w:val="24"/>
              <w:szCs w:val="24"/>
              <w:lang w:val="es-ES" w:eastAsia="es-ES"/>
            </w:rPr>
          </w:pPr>
          <w:hyperlink w:anchor="_Toc516449146" w:history="1">
            <w:r w:rsidR="0017117E" w:rsidRPr="00931CD6">
              <w:rPr>
                <w:rStyle w:val="Hipervnculo"/>
                <w:rFonts w:eastAsia="Calibri"/>
                <w:sz w:val="24"/>
                <w:szCs w:val="24"/>
              </w:rPr>
              <w:t>VI. Conclusión.</w:t>
            </w:r>
            <w:r w:rsidR="0017117E" w:rsidRPr="00931CD6">
              <w:rPr>
                <w:webHidden/>
                <w:sz w:val="24"/>
                <w:szCs w:val="24"/>
              </w:rPr>
              <w:tab/>
            </w:r>
            <w:r w:rsidR="0017117E" w:rsidRPr="00931CD6">
              <w:rPr>
                <w:webHidden/>
                <w:sz w:val="24"/>
                <w:szCs w:val="24"/>
              </w:rPr>
              <w:fldChar w:fldCharType="begin"/>
            </w:r>
            <w:r w:rsidR="0017117E" w:rsidRPr="00931CD6">
              <w:rPr>
                <w:webHidden/>
                <w:sz w:val="24"/>
                <w:szCs w:val="24"/>
              </w:rPr>
              <w:instrText xml:space="preserve"> PAGEREF _Toc516449146 \h </w:instrText>
            </w:r>
            <w:r w:rsidR="0017117E" w:rsidRPr="00931CD6">
              <w:rPr>
                <w:webHidden/>
                <w:sz w:val="24"/>
                <w:szCs w:val="24"/>
              </w:rPr>
            </w:r>
            <w:r w:rsidR="0017117E" w:rsidRPr="00931CD6">
              <w:rPr>
                <w:webHidden/>
                <w:sz w:val="24"/>
                <w:szCs w:val="24"/>
              </w:rPr>
              <w:fldChar w:fldCharType="separate"/>
            </w:r>
            <w:r w:rsidR="006461FB">
              <w:rPr>
                <w:webHidden/>
                <w:sz w:val="24"/>
                <w:szCs w:val="24"/>
              </w:rPr>
              <w:t>28</w:t>
            </w:r>
            <w:r w:rsidR="0017117E" w:rsidRPr="00931CD6">
              <w:rPr>
                <w:webHidden/>
                <w:sz w:val="24"/>
                <w:szCs w:val="24"/>
              </w:rPr>
              <w:fldChar w:fldCharType="end"/>
            </w:r>
          </w:hyperlink>
        </w:p>
        <w:p w:rsidR="00205008" w:rsidRPr="00931CD6" w:rsidRDefault="00E6179D" w:rsidP="00B73B30">
          <w:pPr>
            <w:spacing w:line="360" w:lineRule="auto"/>
            <w:rPr>
              <w:rFonts w:ascii="Palatino Linotype" w:hAnsi="Palatino Linotype"/>
              <w:b/>
              <w:bCs/>
              <w:sz w:val="24"/>
              <w:szCs w:val="24"/>
              <w:lang w:val="es-ES"/>
            </w:rPr>
          </w:pPr>
          <w:r w:rsidRPr="00931CD6">
            <w:rPr>
              <w:rFonts w:ascii="Palatino Linotype" w:hAnsi="Palatino Linotype"/>
              <w:b/>
              <w:bCs/>
              <w:sz w:val="24"/>
              <w:szCs w:val="24"/>
              <w:lang w:val="es-ES"/>
            </w:rPr>
            <w:fldChar w:fldCharType="end"/>
          </w:r>
        </w:p>
        <w:p w:rsidR="00205008" w:rsidRPr="00931CD6" w:rsidRDefault="00205008" w:rsidP="00B73B30">
          <w:pPr>
            <w:spacing w:line="360" w:lineRule="auto"/>
            <w:rPr>
              <w:rFonts w:ascii="Palatino Linotype" w:hAnsi="Palatino Linotype"/>
              <w:b/>
              <w:bCs/>
              <w:sz w:val="24"/>
              <w:szCs w:val="24"/>
              <w:lang w:val="es-ES"/>
            </w:rPr>
          </w:pPr>
        </w:p>
        <w:p w:rsidR="00205008" w:rsidRPr="00931CD6" w:rsidRDefault="00205008" w:rsidP="00B73B30">
          <w:pPr>
            <w:spacing w:line="360" w:lineRule="auto"/>
            <w:rPr>
              <w:rFonts w:ascii="Palatino Linotype" w:hAnsi="Palatino Linotype"/>
              <w:b/>
              <w:bCs/>
              <w:sz w:val="24"/>
              <w:szCs w:val="24"/>
              <w:lang w:val="es-ES"/>
            </w:rPr>
          </w:pPr>
        </w:p>
        <w:p w:rsidR="00205008" w:rsidRPr="00931CD6" w:rsidRDefault="00205008" w:rsidP="00B73B30">
          <w:pPr>
            <w:spacing w:line="360" w:lineRule="auto"/>
            <w:rPr>
              <w:rFonts w:ascii="Palatino Linotype" w:hAnsi="Palatino Linotype"/>
              <w:b/>
              <w:bCs/>
              <w:sz w:val="24"/>
              <w:szCs w:val="24"/>
              <w:lang w:val="es-ES"/>
            </w:rPr>
          </w:pPr>
        </w:p>
        <w:p w:rsidR="00205008" w:rsidRPr="00931CD6" w:rsidRDefault="00205008" w:rsidP="00B73B30">
          <w:pPr>
            <w:spacing w:line="360" w:lineRule="auto"/>
            <w:rPr>
              <w:rFonts w:ascii="Palatino Linotype" w:hAnsi="Palatino Linotype"/>
              <w:b/>
              <w:bCs/>
              <w:sz w:val="24"/>
              <w:szCs w:val="24"/>
              <w:lang w:val="es-ES"/>
            </w:rPr>
          </w:pPr>
        </w:p>
        <w:p w:rsidR="00205008" w:rsidRPr="00931CD6" w:rsidRDefault="00205008" w:rsidP="00B73B30">
          <w:pPr>
            <w:spacing w:line="360" w:lineRule="auto"/>
            <w:rPr>
              <w:rFonts w:ascii="Palatino Linotype" w:hAnsi="Palatino Linotype"/>
              <w:b/>
              <w:bCs/>
              <w:sz w:val="24"/>
              <w:szCs w:val="24"/>
              <w:lang w:val="es-ES"/>
            </w:rPr>
          </w:pPr>
        </w:p>
        <w:p w:rsidR="00205008" w:rsidRPr="00931CD6" w:rsidRDefault="00205008" w:rsidP="00B73B30">
          <w:pPr>
            <w:spacing w:line="360" w:lineRule="auto"/>
            <w:rPr>
              <w:rFonts w:ascii="Palatino Linotype" w:hAnsi="Palatino Linotype"/>
              <w:b/>
              <w:bCs/>
              <w:sz w:val="24"/>
              <w:szCs w:val="24"/>
              <w:lang w:val="es-ES"/>
            </w:rPr>
          </w:pPr>
        </w:p>
        <w:p w:rsidR="00205008" w:rsidRPr="00931CD6" w:rsidRDefault="00205008" w:rsidP="00B73B30">
          <w:pPr>
            <w:spacing w:line="360" w:lineRule="auto"/>
            <w:rPr>
              <w:rFonts w:ascii="Palatino Linotype" w:hAnsi="Palatino Linotype"/>
              <w:b/>
              <w:bCs/>
              <w:sz w:val="24"/>
              <w:szCs w:val="24"/>
              <w:lang w:val="es-ES"/>
            </w:rPr>
          </w:pPr>
        </w:p>
        <w:p w:rsidR="00205008" w:rsidRPr="00931CD6" w:rsidRDefault="00205008" w:rsidP="00B73B30">
          <w:pPr>
            <w:spacing w:line="360" w:lineRule="auto"/>
            <w:rPr>
              <w:rFonts w:ascii="Palatino Linotype" w:hAnsi="Palatino Linotype"/>
              <w:b/>
              <w:bCs/>
              <w:sz w:val="24"/>
              <w:szCs w:val="24"/>
              <w:lang w:val="es-ES"/>
            </w:rPr>
          </w:pPr>
        </w:p>
        <w:p w:rsidR="00205008" w:rsidRPr="00931CD6" w:rsidRDefault="00205008" w:rsidP="00B73B30">
          <w:pPr>
            <w:spacing w:line="360" w:lineRule="auto"/>
            <w:rPr>
              <w:rFonts w:ascii="Palatino Linotype" w:hAnsi="Palatino Linotype"/>
              <w:b/>
              <w:bCs/>
              <w:sz w:val="24"/>
              <w:szCs w:val="24"/>
              <w:lang w:val="es-ES"/>
            </w:rPr>
          </w:pPr>
        </w:p>
        <w:p w:rsidR="00F45572" w:rsidRPr="00931CD6" w:rsidRDefault="00F45572" w:rsidP="00B73B30">
          <w:pPr>
            <w:spacing w:line="360" w:lineRule="auto"/>
            <w:rPr>
              <w:rFonts w:ascii="Palatino Linotype" w:hAnsi="Palatino Linotype"/>
              <w:sz w:val="24"/>
              <w:szCs w:val="24"/>
            </w:rPr>
          </w:pPr>
        </w:p>
        <w:p w:rsidR="00E6179D" w:rsidRPr="00CB2472" w:rsidRDefault="000E014C" w:rsidP="00B73B30">
          <w:pPr>
            <w:spacing w:line="360" w:lineRule="auto"/>
            <w:rPr>
              <w:rFonts w:ascii="Palatino Linotype" w:hAnsi="Palatino Linotype"/>
              <w:sz w:val="24"/>
              <w:szCs w:val="24"/>
            </w:rPr>
          </w:pP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16449141"/>
      <w:r w:rsidRPr="00427B79">
        <w:rPr>
          <w:rFonts w:eastAsia="Times New Roman"/>
          <w:color w:val="auto"/>
          <w:szCs w:val="24"/>
        </w:rPr>
        <w:lastRenderedPageBreak/>
        <w:t>Consideraciones Generales</w:t>
      </w:r>
      <w:bookmarkEnd w:id="0"/>
    </w:p>
    <w:p w:rsidR="0003648B" w:rsidRPr="00427B79" w:rsidRDefault="0003648B" w:rsidP="0003648B">
      <w:pPr>
        <w:pStyle w:val="TDC1"/>
        <w:ind w:left="0"/>
        <w:rPr>
          <w:sz w:val="24"/>
          <w:szCs w:val="24"/>
          <w:lang w:val="es-ES"/>
        </w:rPr>
      </w:pPr>
    </w:p>
    <w:p w:rsidR="00AB5892" w:rsidRPr="00931CD6" w:rsidRDefault="00E6179D" w:rsidP="00931CD6">
      <w:pPr>
        <w:pStyle w:val="Prrafodelista"/>
        <w:numPr>
          <w:ilvl w:val="0"/>
          <w:numId w:val="1"/>
        </w:numPr>
        <w:autoSpaceDE w:val="0"/>
        <w:autoSpaceDN w:val="0"/>
        <w:adjustRightInd w:val="0"/>
        <w:spacing w:before="240" w:after="240" w:line="360" w:lineRule="auto"/>
        <w:ind w:right="51"/>
        <w:jc w:val="both"/>
        <w:rPr>
          <w:rFonts w:ascii="Palatino Linotype" w:eastAsia="Calibri" w:hAnsi="Palatino Linotype" w:cs="Arial"/>
          <w:sz w:val="24"/>
          <w:szCs w:val="24"/>
        </w:rPr>
      </w:pPr>
      <w:r w:rsidRPr="00AB5892">
        <w:rPr>
          <w:rFonts w:ascii="Palatino Linotype" w:eastAsia="Times New Roman" w:hAnsi="Palatino Linotype" w:cs="Arial"/>
          <w:sz w:val="24"/>
          <w:szCs w:val="24"/>
          <w:lang w:val="es-ES_tradnl"/>
        </w:rPr>
        <w:t xml:space="preserve">He concurrido con mi voto particular de la presente resolución emitida </w:t>
      </w:r>
      <w:r w:rsidRPr="00AB5892">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AB5892" w:rsidRPr="00AB5892">
        <w:rPr>
          <w:rFonts w:ascii="Palatino Linotype" w:eastAsia="Calibri" w:hAnsi="Palatino Linotype" w:cs="Arial"/>
          <w:sz w:val="24"/>
          <w:szCs w:val="24"/>
        </w:rPr>
        <w:t>Trig</w:t>
      </w:r>
      <w:r w:rsidR="0098539C" w:rsidRPr="00AB5892">
        <w:rPr>
          <w:rFonts w:ascii="Palatino Linotype" w:eastAsia="Calibri" w:hAnsi="Palatino Linotype" w:cs="Arial"/>
          <w:sz w:val="24"/>
          <w:szCs w:val="24"/>
        </w:rPr>
        <w:t>ésimo Primer</w:t>
      </w:r>
      <w:r w:rsidR="008B30D3" w:rsidRPr="00AB5892">
        <w:rPr>
          <w:rFonts w:ascii="Palatino Linotype" w:eastAsia="Calibri" w:hAnsi="Palatino Linotype" w:cs="Arial"/>
          <w:sz w:val="24"/>
          <w:szCs w:val="24"/>
        </w:rPr>
        <w:t>a</w:t>
      </w:r>
      <w:r w:rsidR="00DB39B5" w:rsidRPr="00AB5892">
        <w:rPr>
          <w:rFonts w:ascii="Palatino Linotype" w:eastAsia="Calibri" w:hAnsi="Palatino Linotype" w:cs="Arial"/>
          <w:sz w:val="24"/>
          <w:szCs w:val="24"/>
        </w:rPr>
        <w:t xml:space="preserve"> </w:t>
      </w:r>
      <w:r w:rsidRPr="00AB5892">
        <w:rPr>
          <w:rFonts w:ascii="Palatino Linotype" w:eastAsia="Calibri" w:hAnsi="Palatino Linotype" w:cs="Arial"/>
          <w:sz w:val="24"/>
          <w:szCs w:val="24"/>
        </w:rPr>
        <w:t xml:space="preserve">Sesión Ordinaria celebrada el día </w:t>
      </w:r>
      <w:r w:rsidR="00AB5892" w:rsidRPr="00AB5892">
        <w:rPr>
          <w:rFonts w:ascii="Palatino Linotype" w:eastAsia="Calibri" w:hAnsi="Palatino Linotype" w:cs="Arial"/>
          <w:sz w:val="24"/>
          <w:szCs w:val="24"/>
        </w:rPr>
        <w:t>veintinueve</w:t>
      </w:r>
      <w:r w:rsidRPr="00AB5892">
        <w:rPr>
          <w:rFonts w:ascii="Palatino Linotype" w:eastAsia="Calibri" w:hAnsi="Palatino Linotype" w:cs="Arial"/>
          <w:sz w:val="24"/>
          <w:szCs w:val="24"/>
        </w:rPr>
        <w:t xml:space="preserve"> (</w:t>
      </w:r>
      <w:r w:rsidR="00AB5892" w:rsidRPr="00AB5892">
        <w:rPr>
          <w:rFonts w:ascii="Palatino Linotype" w:eastAsia="Calibri" w:hAnsi="Palatino Linotype" w:cs="Arial"/>
          <w:sz w:val="24"/>
          <w:szCs w:val="24"/>
        </w:rPr>
        <w:t>29</w:t>
      </w:r>
      <w:r w:rsidRPr="00AB5892">
        <w:rPr>
          <w:rFonts w:ascii="Palatino Linotype" w:eastAsia="Calibri" w:hAnsi="Palatino Linotype" w:cs="Arial"/>
          <w:sz w:val="24"/>
          <w:szCs w:val="24"/>
        </w:rPr>
        <w:t xml:space="preserve">) de </w:t>
      </w:r>
      <w:r w:rsidR="00AB5892" w:rsidRPr="00AB5892">
        <w:rPr>
          <w:rFonts w:ascii="Palatino Linotype" w:eastAsia="Calibri" w:hAnsi="Palatino Linotype" w:cs="Arial"/>
          <w:sz w:val="24"/>
          <w:szCs w:val="24"/>
        </w:rPr>
        <w:t xml:space="preserve">agosto </w:t>
      </w:r>
      <w:r w:rsidRPr="00AB5892">
        <w:rPr>
          <w:rFonts w:ascii="Palatino Linotype" w:eastAsia="Calibri" w:hAnsi="Palatino Linotype" w:cs="Arial"/>
          <w:sz w:val="24"/>
          <w:szCs w:val="24"/>
        </w:rPr>
        <w:t>de</w:t>
      </w:r>
      <w:r w:rsidR="001F0E58" w:rsidRPr="00AB5892">
        <w:rPr>
          <w:rFonts w:ascii="Palatino Linotype" w:eastAsia="Calibri" w:hAnsi="Palatino Linotype" w:cs="Arial"/>
          <w:sz w:val="24"/>
          <w:szCs w:val="24"/>
        </w:rPr>
        <w:t>l</w:t>
      </w:r>
      <w:r w:rsidRPr="00AB5892">
        <w:rPr>
          <w:rFonts w:ascii="Palatino Linotype" w:eastAsia="Calibri" w:hAnsi="Palatino Linotype" w:cs="Arial"/>
          <w:sz w:val="24"/>
          <w:szCs w:val="24"/>
        </w:rPr>
        <w:t xml:space="preserve"> </w:t>
      </w:r>
      <w:r w:rsidR="001F0E58" w:rsidRPr="00AB5892">
        <w:rPr>
          <w:rFonts w:ascii="Palatino Linotype" w:eastAsia="Calibri" w:hAnsi="Palatino Linotype" w:cs="Arial"/>
          <w:sz w:val="24"/>
          <w:szCs w:val="24"/>
        </w:rPr>
        <w:t>dos mil dieciocho</w:t>
      </w:r>
      <w:r w:rsidR="00AB5892" w:rsidRPr="00AB5892">
        <w:rPr>
          <w:rFonts w:ascii="Palatino Linotype" w:eastAsia="Calibri" w:hAnsi="Palatino Linotype" w:cs="Arial"/>
          <w:sz w:val="24"/>
          <w:szCs w:val="24"/>
        </w:rPr>
        <w:t>, en el</w:t>
      </w:r>
      <w:r w:rsidRPr="00AB5892">
        <w:rPr>
          <w:rFonts w:ascii="Palatino Linotype" w:eastAsia="Calibri" w:hAnsi="Palatino Linotype" w:cs="Arial"/>
          <w:sz w:val="24"/>
          <w:szCs w:val="24"/>
        </w:rPr>
        <w:t xml:space="preserve"> recurso de revisión interpuesto por</w:t>
      </w:r>
      <w:r w:rsidR="0045613E" w:rsidRPr="00AB5892">
        <w:rPr>
          <w:rFonts w:ascii="Palatino Linotype" w:eastAsia="Calibri" w:hAnsi="Palatino Linotype" w:cs="Arial"/>
          <w:sz w:val="24"/>
          <w:szCs w:val="24"/>
        </w:rPr>
        <w:t xml:space="preserve"> </w:t>
      </w:r>
      <w:r w:rsidR="00085EDB">
        <w:rPr>
          <w:rFonts w:ascii="Palatino Linotype" w:hAnsi="Palatino Linotype" w:cs="Arial"/>
          <w:b/>
          <w:sz w:val="24"/>
          <w:szCs w:val="24"/>
        </w:rPr>
        <w:t>XXXXXXXXXXXX</w:t>
      </w:r>
      <w:r w:rsidR="0045613E" w:rsidRPr="00AB5892">
        <w:rPr>
          <w:rFonts w:ascii="Palatino Linotype" w:hAnsi="Palatino Linotype" w:cs="Arial"/>
          <w:b/>
          <w:sz w:val="24"/>
          <w:szCs w:val="24"/>
        </w:rPr>
        <w:t xml:space="preserve">, </w:t>
      </w:r>
      <w:r w:rsidR="003E0648" w:rsidRPr="00AB5892">
        <w:rPr>
          <w:rFonts w:ascii="Palatino Linotype" w:eastAsia="Calibri" w:hAnsi="Palatino Linotype" w:cs="Arial"/>
          <w:sz w:val="24"/>
          <w:szCs w:val="24"/>
        </w:rPr>
        <w:t>en contra de la respuesta de</w:t>
      </w:r>
      <w:r w:rsidR="008B30D3" w:rsidRPr="00AB5892">
        <w:rPr>
          <w:rFonts w:ascii="Palatino Linotype" w:eastAsia="Calibri" w:hAnsi="Palatino Linotype" w:cs="Arial"/>
          <w:sz w:val="24"/>
          <w:szCs w:val="24"/>
        </w:rPr>
        <w:t xml:space="preserve"> </w:t>
      </w:r>
      <w:r w:rsidR="009A0D68" w:rsidRPr="00AB5892">
        <w:rPr>
          <w:rFonts w:ascii="Palatino Linotype" w:eastAsia="Calibri" w:hAnsi="Palatino Linotype" w:cs="Arial"/>
          <w:sz w:val="24"/>
          <w:szCs w:val="24"/>
        </w:rPr>
        <w:t>l</w:t>
      </w:r>
      <w:r w:rsidR="008B30D3" w:rsidRPr="00AB5892">
        <w:rPr>
          <w:rFonts w:ascii="Palatino Linotype" w:eastAsia="Calibri" w:hAnsi="Palatino Linotype" w:cs="Arial"/>
          <w:sz w:val="24"/>
          <w:szCs w:val="24"/>
        </w:rPr>
        <w:t>a</w:t>
      </w:r>
      <w:r w:rsidR="009A0D68" w:rsidRPr="00AB5892">
        <w:rPr>
          <w:rFonts w:ascii="Palatino Linotype" w:eastAsia="Calibri" w:hAnsi="Palatino Linotype" w:cs="Arial"/>
          <w:sz w:val="24"/>
          <w:szCs w:val="24"/>
        </w:rPr>
        <w:t xml:space="preserve"> </w:t>
      </w:r>
      <w:r w:rsidR="008B30D3" w:rsidRPr="00AB5892">
        <w:rPr>
          <w:rFonts w:ascii="Palatino Linotype" w:eastAsia="Calibri" w:hAnsi="Palatino Linotype" w:cs="Arial"/>
          <w:b/>
          <w:sz w:val="24"/>
          <w:szCs w:val="24"/>
        </w:rPr>
        <w:t>Universidad Politécnica del Valle de Toluca</w:t>
      </w:r>
      <w:r w:rsidR="0045613E" w:rsidRPr="00AB5892">
        <w:rPr>
          <w:rFonts w:ascii="Palatino Linotype" w:hAnsi="Palatino Linotype" w:cs="Arial"/>
          <w:b/>
          <w:sz w:val="24"/>
          <w:szCs w:val="24"/>
        </w:rPr>
        <w:t xml:space="preserve">, </w:t>
      </w:r>
      <w:r w:rsidRPr="00AB5892">
        <w:rPr>
          <w:rFonts w:ascii="Palatino Linotype" w:eastAsia="Calibri" w:hAnsi="Palatino Linotype" w:cs="Arial"/>
          <w:sz w:val="24"/>
          <w:szCs w:val="24"/>
        </w:rPr>
        <w:t>procedimiento que le fue asignado el número de expediente</w:t>
      </w:r>
      <w:r w:rsidR="00DB39B5" w:rsidRPr="00AB5892">
        <w:rPr>
          <w:rFonts w:ascii="Palatino Linotype" w:eastAsia="Calibri" w:hAnsi="Palatino Linotype" w:cs="Arial"/>
          <w:sz w:val="24"/>
          <w:szCs w:val="24"/>
        </w:rPr>
        <w:t xml:space="preserve"> </w:t>
      </w:r>
      <w:r w:rsidR="00AB5892" w:rsidRPr="00AB5892">
        <w:rPr>
          <w:rFonts w:ascii="Palatino Linotype" w:hAnsi="Palatino Linotype"/>
          <w:b/>
          <w:sz w:val="24"/>
          <w:szCs w:val="24"/>
        </w:rPr>
        <w:t>02380</w:t>
      </w:r>
      <w:r w:rsidR="00AB5892" w:rsidRPr="00AB5892">
        <w:rPr>
          <w:rFonts w:ascii="Palatino Linotype" w:hAnsi="Palatino Linotype" w:cs="Arial"/>
          <w:b/>
          <w:bCs/>
          <w:sz w:val="24"/>
          <w:szCs w:val="24"/>
        </w:rPr>
        <w:t>/INFOEM/IP/RR/2018</w:t>
      </w:r>
      <w:r w:rsidR="00AB5892">
        <w:rPr>
          <w:rFonts w:ascii="Palatino Linotype" w:hAnsi="Palatino Linotype" w:cs="Arial"/>
          <w:b/>
          <w:bCs/>
          <w:sz w:val="24"/>
          <w:szCs w:val="24"/>
        </w:rPr>
        <w:t>.</w:t>
      </w:r>
    </w:p>
    <w:p w:rsidR="00931CD6" w:rsidRPr="00931CD6" w:rsidRDefault="00931CD6" w:rsidP="00931CD6">
      <w:pPr>
        <w:pStyle w:val="Prrafodelista"/>
        <w:autoSpaceDE w:val="0"/>
        <w:autoSpaceDN w:val="0"/>
        <w:adjustRightInd w:val="0"/>
        <w:spacing w:before="240" w:after="240" w:line="360" w:lineRule="auto"/>
        <w:ind w:left="360" w:right="51"/>
        <w:jc w:val="both"/>
        <w:rPr>
          <w:rFonts w:ascii="Palatino Linotype" w:eastAsia="Calibri" w:hAnsi="Palatino Linotype" w:cs="Arial"/>
          <w:sz w:val="24"/>
          <w:szCs w:val="24"/>
        </w:rPr>
      </w:pPr>
    </w:p>
    <w:p w:rsidR="00E6179D" w:rsidRDefault="00E6179D" w:rsidP="00931CD6">
      <w:pPr>
        <w:pStyle w:val="Prrafodelista"/>
        <w:numPr>
          <w:ilvl w:val="0"/>
          <w:numId w:val="1"/>
        </w:numPr>
        <w:autoSpaceDE w:val="0"/>
        <w:autoSpaceDN w:val="0"/>
        <w:adjustRightInd w:val="0"/>
        <w:spacing w:before="240" w:after="240" w:line="360" w:lineRule="auto"/>
        <w:ind w:right="51"/>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determina </w:t>
      </w:r>
      <w:r w:rsidR="00AB5892">
        <w:rPr>
          <w:rFonts w:ascii="Palatino Linotype" w:eastAsia="Calibri" w:hAnsi="Palatino Linotype" w:cs="Arial"/>
          <w:b/>
          <w:sz w:val="24"/>
          <w:szCs w:val="24"/>
        </w:rPr>
        <w:t>SOBRESEER</w:t>
      </w:r>
      <w:r w:rsidRPr="00427B79">
        <w:rPr>
          <w:rFonts w:ascii="Palatino Linotype" w:eastAsia="Calibri" w:hAnsi="Palatino Linotype" w:cs="Arial"/>
          <w:sz w:val="24"/>
          <w:szCs w:val="24"/>
        </w:rPr>
        <w:t xml:space="preserve"> el recurso de revisión, toman</w:t>
      </w:r>
      <w:r w:rsidR="006461FB">
        <w:rPr>
          <w:rFonts w:ascii="Palatino Linotype" w:eastAsia="Calibri" w:hAnsi="Palatino Linotype" w:cs="Arial"/>
          <w:sz w:val="24"/>
          <w:szCs w:val="24"/>
        </w:rPr>
        <w:t>do en consideración el Informe Justificado</w:t>
      </w:r>
      <w:r w:rsidRPr="00427B79">
        <w:rPr>
          <w:rFonts w:ascii="Palatino Linotype" w:eastAsia="Calibri" w:hAnsi="Palatino Linotype" w:cs="Arial"/>
          <w:sz w:val="24"/>
          <w:szCs w:val="24"/>
        </w:rPr>
        <w:t xml:space="preserve"> del </w:t>
      </w:r>
      <w:r w:rsidR="0098539C" w:rsidRPr="0098539C">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w:t>
      </w:r>
    </w:p>
    <w:p w:rsidR="00931CD6" w:rsidRPr="00931CD6" w:rsidRDefault="00931CD6" w:rsidP="00931CD6">
      <w:pPr>
        <w:pStyle w:val="Prrafodelista"/>
        <w:rPr>
          <w:rFonts w:ascii="Palatino Linotype" w:eastAsia="Calibri" w:hAnsi="Palatino Linotype" w:cs="Arial"/>
          <w:sz w:val="24"/>
          <w:szCs w:val="24"/>
        </w:rPr>
      </w:pPr>
    </w:p>
    <w:p w:rsidR="00E6179D" w:rsidRPr="00427B79" w:rsidRDefault="00E6179D" w:rsidP="00931CD6">
      <w:pPr>
        <w:pStyle w:val="Prrafodelista"/>
        <w:numPr>
          <w:ilvl w:val="0"/>
          <w:numId w:val="1"/>
        </w:numPr>
        <w:autoSpaceDE w:val="0"/>
        <w:autoSpaceDN w:val="0"/>
        <w:adjustRightInd w:val="0"/>
        <w:spacing w:before="240" w:after="240" w:line="360" w:lineRule="auto"/>
        <w:ind w:right="51"/>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Estando de acuerdo c</w:t>
      </w:r>
      <w:r w:rsidR="008B30D3">
        <w:rPr>
          <w:rFonts w:ascii="Palatino Linotype" w:eastAsia="Calibri" w:hAnsi="Palatino Linotype" w:cs="Arial"/>
          <w:sz w:val="24"/>
          <w:szCs w:val="24"/>
        </w:rPr>
        <w:t xml:space="preserve">on la resolución formulada por </w:t>
      </w:r>
      <w:r w:rsidRPr="00427B79">
        <w:rPr>
          <w:rFonts w:ascii="Palatino Linotype" w:eastAsia="Calibri" w:hAnsi="Palatino Linotype" w:cs="Arial"/>
          <w:sz w:val="24"/>
          <w:szCs w:val="24"/>
        </w:rPr>
        <w:t>l</w:t>
      </w:r>
      <w:r w:rsidR="002961A1">
        <w:rPr>
          <w:rFonts w:ascii="Palatino Linotype" w:eastAsia="Calibri" w:hAnsi="Palatino Linotype" w:cs="Arial"/>
          <w:sz w:val="24"/>
          <w:szCs w:val="24"/>
        </w:rPr>
        <w:t>a C</w:t>
      </w:r>
      <w:r w:rsidR="008B30D3">
        <w:rPr>
          <w:rFonts w:ascii="Palatino Linotype" w:eastAsia="Calibri" w:hAnsi="Palatino Linotype" w:cs="Arial"/>
          <w:sz w:val="24"/>
          <w:szCs w:val="24"/>
        </w:rPr>
        <w:t>omisionada</w:t>
      </w:r>
      <w:r w:rsidR="002961A1">
        <w:rPr>
          <w:rFonts w:ascii="Palatino Linotype" w:eastAsia="Calibri" w:hAnsi="Palatino Linotype" w:cs="Arial"/>
          <w:sz w:val="24"/>
          <w:szCs w:val="24"/>
        </w:rPr>
        <w:t xml:space="preserve"> P</w:t>
      </w:r>
      <w:r w:rsidRPr="00427B79">
        <w:rPr>
          <w:rFonts w:ascii="Palatino Linotype" w:eastAsia="Calibri" w:hAnsi="Palatino Linotype" w:cs="Arial"/>
          <w:sz w:val="24"/>
          <w:szCs w:val="24"/>
        </w:rPr>
        <w:t>onente, mi voto particular se deriva de</w:t>
      </w:r>
      <w:r w:rsidRPr="00427B79">
        <w:rPr>
          <w:rFonts w:ascii="Palatino Linotype" w:eastAsia="Calibri" w:hAnsi="Palatino Linotype" w:cs="Arial"/>
          <w:sz w:val="24"/>
          <w:szCs w:val="24"/>
          <w:lang w:val="es-ES"/>
        </w:rPr>
        <w:t xml:space="preserve"> </w:t>
      </w:r>
      <w:r w:rsidR="00E97A4D">
        <w:rPr>
          <w:rFonts w:ascii="Palatino Linotype" w:eastAsia="Calibri" w:hAnsi="Palatino Linotype" w:cs="Arial"/>
          <w:sz w:val="24"/>
          <w:szCs w:val="24"/>
          <w:lang w:val="es-ES"/>
        </w:rPr>
        <w:t xml:space="preserve">la pretensión de cobro por digitalización que el </w:t>
      </w:r>
      <w:r w:rsidR="00E97A4D">
        <w:rPr>
          <w:rFonts w:ascii="Palatino Linotype" w:eastAsia="Calibri" w:hAnsi="Palatino Linotype" w:cs="Arial"/>
          <w:b/>
          <w:sz w:val="24"/>
          <w:szCs w:val="24"/>
          <w:lang w:val="es-ES"/>
        </w:rPr>
        <w:t>SUJETO OBLIGADO</w:t>
      </w:r>
      <w:r w:rsidR="002961A1">
        <w:rPr>
          <w:rFonts w:ascii="Palatino Linotype" w:eastAsia="Calibri" w:hAnsi="Palatino Linotype" w:cs="Arial"/>
          <w:sz w:val="24"/>
          <w:szCs w:val="24"/>
          <w:lang w:val="es-ES"/>
        </w:rPr>
        <w:t xml:space="preserve"> realizará</w:t>
      </w:r>
      <w:r w:rsidR="00E97A4D">
        <w:rPr>
          <w:rFonts w:ascii="Palatino Linotype" w:eastAsia="Calibri" w:hAnsi="Palatino Linotype" w:cs="Arial"/>
          <w:sz w:val="24"/>
          <w:szCs w:val="24"/>
          <w:lang w:val="es-ES"/>
        </w:rPr>
        <w:t xml:space="preserve"> a</w:t>
      </w:r>
      <w:r w:rsidR="0098539C">
        <w:rPr>
          <w:rFonts w:ascii="Palatino Linotype" w:eastAsia="Calibri" w:hAnsi="Palatino Linotype" w:cs="Arial"/>
          <w:sz w:val="24"/>
          <w:szCs w:val="24"/>
          <w:lang w:val="es-ES"/>
        </w:rPr>
        <w:t>l</w:t>
      </w:r>
      <w:r w:rsidR="00E97A4D">
        <w:rPr>
          <w:rFonts w:ascii="Palatino Linotype" w:eastAsia="Calibri" w:hAnsi="Palatino Linotype" w:cs="Arial"/>
          <w:sz w:val="24"/>
          <w:szCs w:val="24"/>
          <w:lang w:val="es-ES"/>
        </w:rPr>
        <w:t xml:space="preserve"> </w:t>
      </w:r>
      <w:r w:rsidR="00E97A4D">
        <w:rPr>
          <w:rFonts w:ascii="Palatino Linotype" w:eastAsia="Calibri" w:hAnsi="Palatino Linotype" w:cs="Arial"/>
          <w:b/>
          <w:sz w:val="24"/>
          <w:szCs w:val="24"/>
          <w:lang w:val="es-ES"/>
        </w:rPr>
        <w:t>RECURRENTE</w:t>
      </w:r>
      <w:r w:rsidR="00E97A4D">
        <w:rPr>
          <w:rFonts w:ascii="Palatino Linotype" w:eastAsia="Calibri" w:hAnsi="Palatino Linotype" w:cs="Arial"/>
          <w:sz w:val="24"/>
          <w:szCs w:val="24"/>
          <w:lang w:val="es-ES"/>
        </w:rPr>
        <w:t xml:space="preserve"> a efecto de que se le entregue la información.</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931CD6">
      <w:pPr>
        <w:pStyle w:val="Prrafodelista"/>
        <w:numPr>
          <w:ilvl w:val="0"/>
          <w:numId w:val="1"/>
        </w:numPr>
        <w:autoSpaceDE w:val="0"/>
        <w:autoSpaceDN w:val="0"/>
        <w:adjustRightInd w:val="0"/>
        <w:spacing w:before="240" w:after="240" w:line="360" w:lineRule="auto"/>
        <w:ind w:right="51"/>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16449142"/>
      <w:r w:rsidRPr="00427B79">
        <w:rPr>
          <w:rFonts w:eastAsia="Calibri"/>
          <w:color w:val="auto"/>
          <w:szCs w:val="24"/>
          <w:lang w:val="es-ES"/>
        </w:rPr>
        <w:lastRenderedPageBreak/>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45613E" w:rsidRDefault="00E6179D" w:rsidP="00931CD6">
      <w:pPr>
        <w:pStyle w:val="Prrafodelista"/>
        <w:numPr>
          <w:ilvl w:val="0"/>
          <w:numId w:val="1"/>
        </w:numPr>
        <w:autoSpaceDE w:val="0"/>
        <w:autoSpaceDN w:val="0"/>
        <w:adjustRightInd w:val="0"/>
        <w:spacing w:before="240" w:after="240" w:line="360" w:lineRule="auto"/>
        <w:ind w:right="51"/>
        <w:jc w:val="both"/>
        <w:rPr>
          <w:rFonts w:ascii="Palatino Linotype" w:eastAsia="Calibri" w:hAnsi="Palatino Linotype" w:cs="Times New Roman"/>
          <w:sz w:val="24"/>
          <w:szCs w:val="24"/>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w:t>
      </w:r>
      <w:r w:rsidR="000C780A">
        <w:rPr>
          <w:rFonts w:ascii="Palatino Linotype" w:eastAsia="Calibri" w:hAnsi="Palatino Linotype" w:cs="Times New Roman"/>
          <w:sz w:val="24"/>
          <w:szCs w:val="24"/>
        </w:rPr>
        <w:t>o</w:t>
      </w:r>
      <w:r w:rsidR="002961A1">
        <w:rPr>
          <w:rFonts w:ascii="Palatino Linotype" w:eastAsia="Calibri" w:hAnsi="Palatino Linotype" w:cs="Times New Roman"/>
          <w:sz w:val="24"/>
          <w:szCs w:val="24"/>
        </w:rPr>
        <w:t xml:space="preserve"> constitucional que le asiste al particular, formuló la</w:t>
      </w:r>
      <w:r w:rsidRPr="00427B79">
        <w:rPr>
          <w:rFonts w:ascii="Palatino Linotype" w:eastAsia="Calibri" w:hAnsi="Palatino Linotype" w:cs="Times New Roman"/>
          <w:sz w:val="24"/>
          <w:szCs w:val="24"/>
        </w:rPr>
        <w:t xml:space="preserve"> solicitu</w:t>
      </w:r>
      <w:r w:rsidR="003E0648">
        <w:rPr>
          <w:rFonts w:ascii="Palatino Linotype" w:eastAsia="Calibri" w:hAnsi="Palatino Linotype" w:cs="Times New Roman"/>
          <w:sz w:val="24"/>
          <w:szCs w:val="24"/>
        </w:rPr>
        <w:t>d de información dirigida</w:t>
      </w:r>
      <w:r w:rsidR="002961A1">
        <w:rPr>
          <w:rFonts w:ascii="Palatino Linotype" w:eastAsia="Calibri" w:hAnsi="Palatino Linotype" w:cs="Times New Roman"/>
          <w:sz w:val="24"/>
          <w:szCs w:val="24"/>
        </w:rPr>
        <w:t xml:space="preserve"> </w:t>
      </w:r>
      <w:r w:rsidR="003E0648">
        <w:rPr>
          <w:rFonts w:ascii="Palatino Linotype" w:eastAsia="Calibri" w:hAnsi="Palatino Linotype" w:cs="Times New Roman"/>
          <w:sz w:val="24"/>
          <w:szCs w:val="24"/>
        </w:rPr>
        <w:t>hacia</w:t>
      </w:r>
      <w:r w:rsidR="00BB4414">
        <w:rPr>
          <w:rFonts w:ascii="Palatino Linotype" w:eastAsia="Calibri" w:hAnsi="Palatino Linotype" w:cs="Times New Roman"/>
          <w:sz w:val="24"/>
          <w:szCs w:val="24"/>
        </w:rPr>
        <w:t xml:space="preserve"> l</w:t>
      </w:r>
      <w:r w:rsidR="000C780A">
        <w:rPr>
          <w:rFonts w:ascii="Palatino Linotype" w:eastAsia="Calibri" w:hAnsi="Palatino Linotype" w:cs="Times New Roman"/>
          <w:sz w:val="24"/>
          <w:szCs w:val="24"/>
        </w:rPr>
        <w:t>a</w:t>
      </w:r>
      <w:r w:rsidR="009A0D68" w:rsidRPr="009A0D68">
        <w:t xml:space="preserve"> </w:t>
      </w:r>
      <w:r w:rsidR="000C780A">
        <w:rPr>
          <w:rFonts w:ascii="Palatino Linotype" w:eastAsia="Calibri" w:hAnsi="Palatino Linotype" w:cs="Times New Roman"/>
          <w:b/>
          <w:sz w:val="24"/>
          <w:szCs w:val="24"/>
        </w:rPr>
        <w:t>Universidad Politécnica del Valle de Toluca</w:t>
      </w:r>
      <w:r w:rsidR="003C37C6" w:rsidRPr="004A5F86">
        <w:rPr>
          <w:rFonts w:ascii="Palatino Linotype" w:eastAsia="Calibri" w:hAnsi="Palatino Linotype" w:cs="Times New Roman"/>
          <w:b/>
          <w:sz w:val="24"/>
          <w:szCs w:val="24"/>
        </w:rPr>
        <w:t>,</w:t>
      </w:r>
      <w:r w:rsidRPr="00427B79">
        <w:rPr>
          <w:rFonts w:ascii="Palatino Linotype" w:eastAsia="Calibri" w:hAnsi="Palatino Linotype" w:cs="Times New Roman"/>
          <w:sz w:val="24"/>
          <w:szCs w:val="24"/>
        </w:rPr>
        <w:t xml:space="preserve"> en dicha solicitud</w:t>
      </w:r>
      <w:r w:rsidR="0098539C">
        <w:rPr>
          <w:rFonts w:ascii="Palatino Linotype" w:eastAsia="Calibri" w:hAnsi="Palatino Linotype" w:cs="Times New Roman"/>
          <w:sz w:val="24"/>
          <w:szCs w:val="24"/>
        </w:rPr>
        <w:t xml:space="preserve"> planteó lo siguiente:</w:t>
      </w:r>
    </w:p>
    <w:p w:rsidR="0098539C" w:rsidRPr="0098539C" w:rsidRDefault="002961A1" w:rsidP="002961A1">
      <w:pPr>
        <w:spacing w:before="240" w:line="360" w:lineRule="auto"/>
        <w:ind w:left="851" w:right="850"/>
        <w:jc w:val="both"/>
        <w:rPr>
          <w:rFonts w:ascii="Palatino Linotype" w:eastAsia="Times New Roman" w:hAnsi="Palatino Linotype" w:cs="Times New Roman"/>
          <w:i/>
          <w:lang w:val="es-ES_tradnl" w:eastAsia="es-ES"/>
        </w:rPr>
      </w:pPr>
      <w:r w:rsidRPr="006B26E3">
        <w:rPr>
          <w:rFonts w:ascii="Palatino Linotype" w:eastAsia="Times New Roman" w:hAnsi="Palatino Linotype" w:cs="Times New Roman"/>
          <w:i/>
          <w:sz w:val="24"/>
          <w:szCs w:val="24"/>
          <w:lang w:val="es-ES_tradnl" w:eastAsia="es-ES"/>
        </w:rPr>
        <w:t>“</w:t>
      </w:r>
      <w:r w:rsidRPr="00E04372">
        <w:rPr>
          <w:rFonts w:ascii="Palatino Linotype" w:eastAsia="Times New Roman" w:hAnsi="Palatino Linotype" w:cs="Times New Roman"/>
          <w:i/>
          <w:sz w:val="24"/>
          <w:szCs w:val="24"/>
          <w:lang w:val="es-ES_tradnl" w:eastAsia="es-ES"/>
        </w:rPr>
        <w:t xml:space="preserve">Buenas tardes. Favor de proporcionar la información correspondiente al área de equidad de </w:t>
      </w:r>
      <w:proofErr w:type="spellStart"/>
      <w:proofErr w:type="gramStart"/>
      <w:r w:rsidRPr="00E04372">
        <w:rPr>
          <w:rFonts w:ascii="Palatino Linotype" w:eastAsia="Times New Roman" w:hAnsi="Palatino Linotype" w:cs="Times New Roman"/>
          <w:i/>
          <w:sz w:val="24"/>
          <w:szCs w:val="24"/>
          <w:lang w:val="es-ES_tradnl" w:eastAsia="es-ES"/>
        </w:rPr>
        <w:t>genero</w:t>
      </w:r>
      <w:proofErr w:type="spellEnd"/>
      <w:proofErr w:type="gramEnd"/>
      <w:r w:rsidRPr="00E04372">
        <w:rPr>
          <w:rFonts w:ascii="Palatino Linotype" w:eastAsia="Times New Roman" w:hAnsi="Palatino Linotype" w:cs="Times New Roman"/>
          <w:i/>
          <w:sz w:val="24"/>
          <w:szCs w:val="24"/>
          <w:lang w:val="es-ES_tradnl" w:eastAsia="es-ES"/>
        </w:rPr>
        <w:t xml:space="preserve"> en todo lo que lleva funcionando dentro de la universidad. Gracias</w:t>
      </w:r>
      <w:r w:rsidRPr="0059448B">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i/>
          <w:sz w:val="24"/>
          <w:szCs w:val="24"/>
          <w:lang w:val="es-ES_tradnl" w:eastAsia="es-ES"/>
        </w:rPr>
        <w:t>”</w:t>
      </w:r>
    </w:p>
    <w:p w:rsidR="00E6179D" w:rsidRPr="00427B79" w:rsidRDefault="00E6179D" w:rsidP="00931CD6">
      <w:pPr>
        <w:pStyle w:val="Prrafodelista"/>
        <w:numPr>
          <w:ilvl w:val="0"/>
          <w:numId w:val="1"/>
        </w:numPr>
        <w:autoSpaceDE w:val="0"/>
        <w:autoSpaceDN w:val="0"/>
        <w:adjustRightInd w:val="0"/>
        <w:spacing w:before="240" w:after="240" w:line="360" w:lineRule="auto"/>
        <w:ind w:right="51"/>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Bajo esas consideraciones la Ponencia </w:t>
      </w:r>
      <w:r w:rsidR="00E97A4D">
        <w:rPr>
          <w:rFonts w:ascii="Palatino Linotype" w:eastAsia="Calibri" w:hAnsi="Palatino Linotype" w:cs="Arial"/>
          <w:sz w:val="24"/>
          <w:szCs w:val="24"/>
        </w:rPr>
        <w:t>que resolvió</w:t>
      </w:r>
      <w:r w:rsidR="00FD1FAD" w:rsidRPr="00427B79">
        <w:rPr>
          <w:rFonts w:ascii="Palatino Linotype" w:eastAsia="Calibri" w:hAnsi="Palatino Linotype" w:cs="Arial"/>
          <w:sz w:val="24"/>
          <w:szCs w:val="24"/>
        </w:rPr>
        <w:t xml:space="preserve"> el recurso de revisión</w:t>
      </w:r>
      <w:r w:rsidRPr="00427B79">
        <w:rPr>
          <w:rFonts w:ascii="Palatino Linotype" w:eastAsia="Calibri" w:hAnsi="Palatino Linotype" w:cs="Arial"/>
          <w:sz w:val="24"/>
          <w:szCs w:val="24"/>
        </w:rPr>
        <w:t xml:space="preserve"> para no realizar una afectación al derecho de acceso a la información de</w:t>
      </w:r>
      <w:r w:rsidR="0098539C">
        <w:rPr>
          <w:rFonts w:ascii="Palatino Linotype" w:eastAsia="Calibri" w:hAnsi="Palatino Linotype" w:cs="Arial"/>
          <w:sz w:val="24"/>
          <w:szCs w:val="24"/>
        </w:rPr>
        <w:t xml:space="preserve">l </w:t>
      </w:r>
      <w:r w:rsidRPr="00427B79">
        <w:rPr>
          <w:rFonts w:ascii="Palatino Linotype" w:eastAsia="Calibri" w:hAnsi="Palatino Linotype" w:cs="Arial"/>
          <w:sz w:val="24"/>
          <w:szCs w:val="24"/>
        </w:rPr>
        <w:t xml:space="preserve">particular, decidió por cuenta propia entrar al estudio y análisis del asunto a efecto de </w:t>
      </w:r>
      <w:r w:rsidR="00FD1FAD" w:rsidRPr="00427B79">
        <w:rPr>
          <w:rFonts w:ascii="Palatino Linotype" w:eastAsia="Calibri" w:hAnsi="Palatino Linotype" w:cs="Arial"/>
          <w:sz w:val="24"/>
          <w:szCs w:val="24"/>
        </w:rPr>
        <w:t>verificar si existe fu</w:t>
      </w:r>
      <w:r w:rsidR="003E0648">
        <w:rPr>
          <w:rFonts w:ascii="Palatino Linotype" w:eastAsia="Calibri" w:hAnsi="Palatino Linotype" w:cs="Arial"/>
          <w:sz w:val="24"/>
          <w:szCs w:val="24"/>
        </w:rPr>
        <w:t>ente obligacional por parte de</w:t>
      </w:r>
      <w:r w:rsidR="000C780A">
        <w:rPr>
          <w:rFonts w:ascii="Palatino Linotype" w:eastAsia="Calibri" w:hAnsi="Palatino Linotype" w:cs="Arial"/>
          <w:sz w:val="24"/>
          <w:szCs w:val="24"/>
        </w:rPr>
        <w:t xml:space="preserve"> </w:t>
      </w:r>
      <w:r w:rsidR="004A5F86">
        <w:rPr>
          <w:rFonts w:ascii="Palatino Linotype" w:eastAsia="Calibri" w:hAnsi="Palatino Linotype" w:cs="Arial"/>
          <w:sz w:val="24"/>
          <w:szCs w:val="24"/>
        </w:rPr>
        <w:t>l</w:t>
      </w:r>
      <w:r w:rsidR="000C780A">
        <w:rPr>
          <w:rFonts w:ascii="Palatino Linotype" w:eastAsia="Calibri" w:hAnsi="Palatino Linotype" w:cs="Arial"/>
          <w:sz w:val="24"/>
          <w:szCs w:val="24"/>
        </w:rPr>
        <w:t>a</w:t>
      </w:r>
      <w:r w:rsidR="0090262D" w:rsidRPr="0090262D">
        <w:t xml:space="preserve"> </w:t>
      </w:r>
      <w:r w:rsidR="000C780A">
        <w:rPr>
          <w:rFonts w:ascii="Palatino Linotype" w:eastAsia="Calibri" w:hAnsi="Palatino Linotype" w:cs="Arial"/>
          <w:b/>
          <w:sz w:val="24"/>
          <w:szCs w:val="24"/>
        </w:rPr>
        <w:t>Universidad Politécnica del Valle de Toluca</w:t>
      </w:r>
      <w:r w:rsidR="00B16CE1" w:rsidRPr="00D05844">
        <w:rPr>
          <w:rFonts w:ascii="Palatino Linotype" w:hAnsi="Palatino Linotype"/>
          <w:b/>
          <w:sz w:val="24"/>
          <w:szCs w:val="24"/>
        </w:rPr>
        <w:t>,</w:t>
      </w:r>
      <w:r w:rsidR="00B16CE1" w:rsidRPr="00B16CE1">
        <w:t xml:space="preserve"> </w:t>
      </w:r>
      <w:r w:rsidR="00FD1FAD" w:rsidRPr="00427B79">
        <w:rPr>
          <w:rFonts w:ascii="Palatino Linotype" w:eastAsia="Calibri" w:hAnsi="Palatino Linotype" w:cs="Arial"/>
          <w:sz w:val="24"/>
          <w:szCs w:val="24"/>
        </w:rPr>
        <w:t xml:space="preserve">y así ordenar </w:t>
      </w:r>
      <w:r w:rsidR="00E97A4D">
        <w:rPr>
          <w:rFonts w:ascii="Palatino Linotype" w:eastAsia="Calibri" w:hAnsi="Palatino Linotype" w:cs="Arial"/>
          <w:sz w:val="24"/>
          <w:szCs w:val="24"/>
        </w:rPr>
        <w:t>de la información del</w:t>
      </w:r>
      <w:r w:rsidR="00B16CE1">
        <w:rPr>
          <w:rFonts w:ascii="Palatino Linotype" w:eastAsia="Calibri" w:hAnsi="Palatino Linotype" w:cs="Arial"/>
          <w:sz w:val="24"/>
          <w:szCs w:val="24"/>
        </w:rPr>
        <w:t xml:space="preserve"> </w:t>
      </w:r>
      <w:r w:rsidR="00FD1FAD"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w:t>
      </w:r>
    </w:p>
    <w:p w:rsidR="00E6179D" w:rsidRPr="00427B79" w:rsidRDefault="00E6179D" w:rsidP="00E6179D">
      <w:pPr>
        <w:pStyle w:val="Prrafodelista"/>
        <w:ind w:left="0"/>
        <w:rPr>
          <w:rFonts w:ascii="Palatino Linotype" w:eastAsia="Calibri" w:hAnsi="Palatino Linotype" w:cs="Arial"/>
          <w:sz w:val="24"/>
          <w:szCs w:val="24"/>
        </w:rPr>
      </w:pPr>
    </w:p>
    <w:p w:rsidR="00F1403B" w:rsidRPr="006461FB" w:rsidRDefault="00E6179D" w:rsidP="00931CD6">
      <w:pPr>
        <w:pStyle w:val="Prrafodelista"/>
        <w:numPr>
          <w:ilvl w:val="0"/>
          <w:numId w:val="1"/>
        </w:numPr>
        <w:autoSpaceDE w:val="0"/>
        <w:autoSpaceDN w:val="0"/>
        <w:adjustRightInd w:val="0"/>
        <w:spacing w:before="240" w:after="240" w:line="360" w:lineRule="auto"/>
        <w:ind w:right="51"/>
        <w:jc w:val="both"/>
        <w:rPr>
          <w:rFonts w:ascii="Palatino Linotype" w:eastAsia="Calibri" w:hAnsi="Palatino Linotype" w:cs="Arial"/>
          <w:i/>
          <w:sz w:val="24"/>
          <w:szCs w:val="24"/>
        </w:rPr>
      </w:pPr>
      <w:r w:rsidRPr="00DB39B5">
        <w:rPr>
          <w:rFonts w:ascii="Palatino Linotype" w:eastAsia="Calibri" w:hAnsi="Palatino Linotype" w:cs="Arial"/>
          <w:sz w:val="24"/>
          <w:szCs w:val="24"/>
        </w:rPr>
        <w:t>Por lo que respecta al análisis que realizó l</w:t>
      </w:r>
      <w:r w:rsidR="000C780A">
        <w:rPr>
          <w:rFonts w:ascii="Palatino Linotype" w:eastAsia="Calibri" w:hAnsi="Palatino Linotype" w:cs="Arial"/>
          <w:sz w:val="24"/>
          <w:szCs w:val="24"/>
        </w:rPr>
        <w:t>a</w:t>
      </w:r>
      <w:r w:rsidR="002961A1">
        <w:rPr>
          <w:rFonts w:ascii="Palatino Linotype" w:eastAsia="Calibri" w:hAnsi="Palatino Linotype" w:cs="Arial"/>
          <w:sz w:val="24"/>
          <w:szCs w:val="24"/>
        </w:rPr>
        <w:t xml:space="preserve"> P</w:t>
      </w:r>
      <w:r w:rsidRPr="00DB39B5">
        <w:rPr>
          <w:rFonts w:ascii="Palatino Linotype" w:eastAsia="Calibri" w:hAnsi="Palatino Linotype" w:cs="Arial"/>
          <w:sz w:val="24"/>
          <w:szCs w:val="24"/>
        </w:rPr>
        <w:t xml:space="preserve">onente para poder </w:t>
      </w:r>
      <w:r w:rsidR="002961A1">
        <w:rPr>
          <w:rFonts w:ascii="Palatino Linotype" w:eastAsia="Calibri" w:hAnsi="Palatino Linotype" w:cs="Arial"/>
          <w:sz w:val="24"/>
          <w:szCs w:val="24"/>
        </w:rPr>
        <w:t>sobreseer</w:t>
      </w:r>
      <w:r w:rsidRPr="00DB39B5">
        <w:rPr>
          <w:rFonts w:ascii="Palatino Linotype" w:eastAsia="Calibri" w:hAnsi="Palatino Linotype" w:cs="Arial"/>
          <w:sz w:val="24"/>
          <w:szCs w:val="24"/>
        </w:rPr>
        <w:t xml:space="preserve"> el presente asunto </w:t>
      </w:r>
      <w:r w:rsidR="00427B79" w:rsidRPr="00DB39B5">
        <w:rPr>
          <w:rFonts w:ascii="Palatino Linotype" w:hAnsi="Palatino Linotype" w:cs="Arial"/>
          <w:sz w:val="24"/>
          <w:szCs w:val="24"/>
        </w:rPr>
        <w:t xml:space="preserve">se observó que el </w:t>
      </w:r>
      <w:r w:rsidR="00427B79" w:rsidRPr="00DB39B5">
        <w:rPr>
          <w:rFonts w:ascii="Palatino Linotype" w:hAnsi="Palatino Linotype" w:cs="Arial"/>
          <w:b/>
          <w:sz w:val="24"/>
          <w:szCs w:val="24"/>
        </w:rPr>
        <w:t>SUJETO OBLIGADO</w:t>
      </w:r>
      <w:r w:rsidR="00DB39B5" w:rsidRPr="00DB39B5">
        <w:rPr>
          <w:rFonts w:ascii="Palatino Linotype" w:hAnsi="Palatino Linotype" w:cs="Arial"/>
          <w:b/>
          <w:sz w:val="24"/>
          <w:szCs w:val="24"/>
        </w:rPr>
        <w:t xml:space="preserve"> </w:t>
      </w:r>
      <w:r w:rsidR="00DB39B5" w:rsidRPr="00DB39B5">
        <w:rPr>
          <w:rFonts w:ascii="Palatino Linotype" w:hAnsi="Palatino Linotype" w:cs="Arial"/>
          <w:sz w:val="24"/>
          <w:szCs w:val="24"/>
        </w:rPr>
        <w:t>colmó la solicitud de inform</w:t>
      </w:r>
      <w:r w:rsidR="00807D77">
        <w:rPr>
          <w:rFonts w:ascii="Palatino Linotype" w:hAnsi="Palatino Linotype" w:cs="Arial"/>
          <w:sz w:val="24"/>
          <w:szCs w:val="24"/>
        </w:rPr>
        <w:t xml:space="preserve">ación por parte del solicitante en el Informe Justificado, por lo que se resuelve </w:t>
      </w:r>
      <w:r w:rsidR="00807D77">
        <w:rPr>
          <w:rFonts w:ascii="Palatino Linotype" w:hAnsi="Palatino Linotype" w:cs="Arial"/>
          <w:b/>
          <w:sz w:val="24"/>
          <w:szCs w:val="24"/>
        </w:rPr>
        <w:t xml:space="preserve">SOBRESEER </w:t>
      </w:r>
      <w:r w:rsidR="00807D77">
        <w:rPr>
          <w:rFonts w:ascii="Palatino Linotype" w:hAnsi="Palatino Linotype" w:cs="Arial"/>
          <w:sz w:val="24"/>
          <w:szCs w:val="24"/>
        </w:rPr>
        <w:t>el presente recurso de revisión.</w:t>
      </w:r>
    </w:p>
    <w:p w:rsidR="006461FB" w:rsidRPr="006461FB" w:rsidRDefault="006461FB" w:rsidP="006461FB">
      <w:pPr>
        <w:pStyle w:val="Prrafodelista"/>
        <w:rPr>
          <w:rFonts w:ascii="Palatino Linotype" w:eastAsia="Calibri" w:hAnsi="Palatino Linotype" w:cs="Arial"/>
          <w:i/>
          <w:sz w:val="24"/>
          <w:szCs w:val="24"/>
        </w:rPr>
      </w:pPr>
    </w:p>
    <w:p w:rsidR="00594E5C" w:rsidRPr="008747CB" w:rsidRDefault="00594E5C" w:rsidP="00931CD6">
      <w:pPr>
        <w:pStyle w:val="Prrafodelista"/>
        <w:numPr>
          <w:ilvl w:val="0"/>
          <w:numId w:val="1"/>
        </w:numPr>
        <w:autoSpaceDE w:val="0"/>
        <w:autoSpaceDN w:val="0"/>
        <w:adjustRightInd w:val="0"/>
        <w:spacing w:before="240" w:after="240" w:line="360" w:lineRule="auto"/>
        <w:ind w:right="51"/>
        <w:jc w:val="both"/>
        <w:rPr>
          <w:rFonts w:ascii="Palatino Linotype" w:eastAsia="Times New Roman" w:hAnsi="Palatino Linotype" w:cs="Arial"/>
          <w:i/>
          <w:sz w:val="24"/>
        </w:rPr>
      </w:pPr>
      <w:r>
        <w:rPr>
          <w:rFonts w:ascii="Palatino Linotype" w:eastAsia="Times New Roman" w:hAnsi="Palatino Linotype" w:cs="Arial"/>
          <w:sz w:val="24"/>
        </w:rPr>
        <w:t>Sin embargo</w:t>
      </w:r>
      <w:r w:rsidR="00A60C7E">
        <w:rPr>
          <w:rFonts w:ascii="Palatino Linotype" w:eastAsia="Times New Roman" w:hAnsi="Palatino Linotype" w:cs="Arial"/>
          <w:sz w:val="24"/>
        </w:rPr>
        <w:t>,</w:t>
      </w:r>
      <w:r>
        <w:rPr>
          <w:rFonts w:ascii="Palatino Linotype" w:eastAsia="Times New Roman" w:hAnsi="Palatino Linotype" w:cs="Arial"/>
          <w:sz w:val="24"/>
        </w:rPr>
        <w:t xml:space="preserve"> </w:t>
      </w:r>
      <w:r w:rsidR="00A60C7E">
        <w:rPr>
          <w:rFonts w:ascii="Palatino Linotype" w:eastAsia="Times New Roman" w:hAnsi="Palatino Linotype" w:cs="Arial"/>
          <w:sz w:val="24"/>
        </w:rPr>
        <w:t>é</w:t>
      </w:r>
      <w:r w:rsidR="006461FB">
        <w:rPr>
          <w:rFonts w:ascii="Palatino Linotype" w:eastAsia="Times New Roman" w:hAnsi="Palatino Linotype" w:cs="Arial"/>
          <w:sz w:val="24"/>
        </w:rPr>
        <w:t>sta P</w:t>
      </w:r>
      <w:r>
        <w:rPr>
          <w:rFonts w:ascii="Palatino Linotype" w:eastAsia="Times New Roman" w:hAnsi="Palatino Linotype" w:cs="Arial"/>
          <w:sz w:val="24"/>
        </w:rPr>
        <w:t>onencia observó que la resolución puntualmente indica lo siguiente</w:t>
      </w:r>
      <w:r w:rsidR="007E48FF">
        <w:rPr>
          <w:rFonts w:ascii="Palatino Linotype" w:eastAsia="Times New Roman" w:hAnsi="Palatino Linotype" w:cs="Arial"/>
          <w:sz w:val="24"/>
        </w:rPr>
        <w:t>:</w:t>
      </w:r>
    </w:p>
    <w:p w:rsidR="00807D77" w:rsidRPr="00807D77" w:rsidRDefault="00A60C7E" w:rsidP="00807D77">
      <w:pPr>
        <w:pStyle w:val="Prrafodelista"/>
        <w:spacing w:before="240" w:after="240" w:line="360" w:lineRule="auto"/>
        <w:ind w:left="851" w:right="567"/>
        <w:jc w:val="both"/>
        <w:rPr>
          <w:rFonts w:ascii="Palatino Linotype" w:hAnsi="Palatino Linotype" w:cs="Arial"/>
          <w:i/>
          <w:color w:val="000000" w:themeColor="text1"/>
          <w:sz w:val="24"/>
          <w:szCs w:val="24"/>
        </w:rPr>
      </w:pPr>
      <w:r w:rsidRPr="001553F5">
        <w:rPr>
          <w:rFonts w:ascii="Palatino Linotype" w:eastAsia="Times New Roman" w:hAnsi="Palatino Linotype" w:cs="Arial"/>
          <w:i/>
          <w:sz w:val="24"/>
          <w:szCs w:val="24"/>
        </w:rPr>
        <w:lastRenderedPageBreak/>
        <w:t>“</w:t>
      </w:r>
      <w:r w:rsidR="00807D77" w:rsidRPr="00807D77">
        <w:rPr>
          <w:rFonts w:ascii="Palatino Linotype" w:hAnsi="Palatino Linotype" w:cs="Arial"/>
          <w:i/>
          <w:color w:val="000000" w:themeColor="text1"/>
          <w:sz w:val="24"/>
          <w:szCs w:val="24"/>
        </w:rPr>
        <w:t>De lo anterior se advierte que cuando la información solicitada obra en más de 20 (veinte) hojas, y que no corresponde a información común o específica que los Sujetos Obligados deben poner a disposición del público; si la solicitud de información fue atendida debidamente y el Sujeto Obligado manifiesta no poseer la información en forma digital, será procedente requerir el pago por la digitalización conforme a las disposiciones legales aplicables.</w:t>
      </w:r>
    </w:p>
    <w:p w:rsidR="00807D77" w:rsidRPr="00807D77" w:rsidRDefault="00807D77" w:rsidP="00807D77">
      <w:pPr>
        <w:pStyle w:val="Prrafodelista"/>
        <w:spacing w:before="240" w:after="240" w:line="360" w:lineRule="auto"/>
        <w:ind w:left="851" w:right="567"/>
        <w:jc w:val="both"/>
        <w:rPr>
          <w:rFonts w:ascii="Palatino Linotype" w:hAnsi="Palatino Linotype" w:cs="Arial"/>
          <w:i/>
          <w:color w:val="000000" w:themeColor="text1"/>
          <w:sz w:val="24"/>
          <w:szCs w:val="24"/>
        </w:rPr>
      </w:pPr>
    </w:p>
    <w:p w:rsidR="00807D77" w:rsidRPr="00807D77" w:rsidRDefault="00807D77" w:rsidP="00807D77">
      <w:pPr>
        <w:pStyle w:val="Prrafodelista"/>
        <w:spacing w:before="240" w:after="240" w:line="360" w:lineRule="auto"/>
        <w:ind w:left="851" w:right="567"/>
        <w:jc w:val="both"/>
        <w:rPr>
          <w:rFonts w:ascii="Palatino Linotype" w:hAnsi="Palatino Linotype" w:cs="Arial"/>
          <w:i/>
          <w:color w:val="000000" w:themeColor="text1"/>
          <w:sz w:val="24"/>
          <w:szCs w:val="24"/>
        </w:rPr>
      </w:pPr>
      <w:r w:rsidRPr="00807D77">
        <w:rPr>
          <w:rFonts w:ascii="Palatino Linotype" w:hAnsi="Palatino Linotype" w:cs="Arial"/>
          <w:i/>
          <w:color w:val="000000" w:themeColor="text1"/>
          <w:sz w:val="24"/>
          <w:szCs w:val="24"/>
        </w:rPr>
        <w:t>Por su parte, el Sujeto Obligado al presentar su Informe Justificado, argumentó que no está negando la información, toda vez que se le informó al Recurrente que cuenta con la información solicitada, sin embargo, esta no se encuentra digitalizada y el proceso de la misma genera un costo por el escaneo y la digitalización por la cantidad de $0.60 (sesenta Centavos) por hoja.</w:t>
      </w:r>
    </w:p>
    <w:p w:rsidR="00807D77" w:rsidRPr="00807D77" w:rsidRDefault="00807D77" w:rsidP="00807D77">
      <w:pPr>
        <w:pStyle w:val="Prrafodelista"/>
        <w:spacing w:before="240" w:after="240" w:line="360" w:lineRule="auto"/>
        <w:ind w:left="851" w:right="567"/>
        <w:jc w:val="both"/>
        <w:rPr>
          <w:rFonts w:ascii="Palatino Linotype" w:hAnsi="Palatino Linotype" w:cs="Arial"/>
          <w:i/>
          <w:color w:val="000000" w:themeColor="text1"/>
          <w:sz w:val="24"/>
          <w:szCs w:val="24"/>
        </w:rPr>
      </w:pPr>
    </w:p>
    <w:p w:rsidR="0090262D" w:rsidRPr="001553F5" w:rsidRDefault="00807D77" w:rsidP="00807D77">
      <w:pPr>
        <w:pStyle w:val="Prrafodelista"/>
        <w:spacing w:before="240" w:after="240" w:line="360" w:lineRule="auto"/>
        <w:ind w:left="851" w:right="567"/>
        <w:jc w:val="both"/>
        <w:rPr>
          <w:rFonts w:ascii="Palatino Linotype" w:eastAsia="Times New Roman" w:hAnsi="Palatino Linotype" w:cs="Arial"/>
          <w:i/>
          <w:sz w:val="24"/>
          <w:szCs w:val="24"/>
        </w:rPr>
      </w:pPr>
      <w:r w:rsidRPr="00807D77">
        <w:rPr>
          <w:rFonts w:ascii="Palatino Linotype" w:hAnsi="Palatino Linotype" w:cs="Arial"/>
          <w:i/>
          <w:color w:val="000000" w:themeColor="text1"/>
          <w:sz w:val="24"/>
          <w:szCs w:val="24"/>
        </w:rPr>
        <w:t xml:space="preserve">Bajo ese tenor, toda vez que el Sujeto Obligado, manifestó poseer dicha información pero solo de manera física, resulta procedente que la información solicitada genere un costo por su digitalización toda vez que, el Sujeto Obligado atendió debidamente la solicitud, además de que la información solicitada excede la cantidad de veinte (veinte) hojas y, no es una fuente obligacional común ni específica que lo constriña a poseer la información digitalizada; de ahí que, requerir el pago por la digitalización de la información solicitada no viola los derechos del Recurrente, toda vez que el Sujeto Obligado </w:t>
      </w:r>
      <w:r>
        <w:rPr>
          <w:rFonts w:ascii="Palatino Linotype" w:hAnsi="Palatino Linotype" w:cs="Arial"/>
          <w:i/>
          <w:color w:val="000000" w:themeColor="text1"/>
          <w:sz w:val="24"/>
          <w:szCs w:val="24"/>
        </w:rPr>
        <w:t>fundamentó y motivo dicho cobro</w:t>
      </w:r>
      <w:r w:rsidR="001553F5" w:rsidRPr="001553F5">
        <w:rPr>
          <w:rFonts w:ascii="Palatino Linotype" w:hAnsi="Palatino Linotype" w:cs="Arial"/>
          <w:i/>
          <w:color w:val="000000" w:themeColor="text1"/>
          <w:sz w:val="24"/>
          <w:szCs w:val="24"/>
        </w:rPr>
        <w:t>.</w:t>
      </w:r>
      <w:r w:rsidR="00A60C7E" w:rsidRPr="001553F5">
        <w:rPr>
          <w:rFonts w:ascii="Palatino Linotype" w:eastAsia="Times New Roman" w:hAnsi="Palatino Linotype" w:cs="Arial"/>
          <w:i/>
          <w:sz w:val="24"/>
          <w:szCs w:val="24"/>
        </w:rPr>
        <w:t>”</w:t>
      </w:r>
    </w:p>
    <w:p w:rsidR="002937C6" w:rsidRPr="0009506C" w:rsidRDefault="002937C6" w:rsidP="00A60C7E">
      <w:pPr>
        <w:pStyle w:val="Prrafodelista"/>
        <w:spacing w:before="240" w:after="240" w:line="360" w:lineRule="auto"/>
        <w:ind w:left="851" w:right="567"/>
        <w:jc w:val="both"/>
        <w:rPr>
          <w:rFonts w:ascii="Palatino Linotype" w:eastAsia="Times New Roman" w:hAnsi="Palatino Linotype" w:cs="Arial"/>
          <w:i/>
          <w:sz w:val="24"/>
        </w:rPr>
      </w:pPr>
    </w:p>
    <w:p w:rsidR="00C602B8" w:rsidRPr="00C602B8" w:rsidRDefault="00A60C7E" w:rsidP="00931CD6">
      <w:pPr>
        <w:pStyle w:val="Prrafodelista"/>
        <w:numPr>
          <w:ilvl w:val="0"/>
          <w:numId w:val="1"/>
        </w:numPr>
        <w:autoSpaceDE w:val="0"/>
        <w:autoSpaceDN w:val="0"/>
        <w:adjustRightInd w:val="0"/>
        <w:spacing w:before="240" w:after="240" w:line="360" w:lineRule="auto"/>
        <w:ind w:right="51"/>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w:t>
      </w:r>
      <w:r w:rsidR="00594E5C">
        <w:rPr>
          <w:rFonts w:ascii="Palatino Linotype" w:eastAsia="Times New Roman" w:hAnsi="Palatino Linotype" w:cs="Arial"/>
          <w:sz w:val="24"/>
        </w:rPr>
        <w:t>l</w:t>
      </w:r>
      <w:r>
        <w:rPr>
          <w:rFonts w:ascii="Palatino Linotype" w:eastAsia="Times New Roman" w:hAnsi="Palatino Linotype" w:cs="Arial"/>
          <w:sz w:val="24"/>
        </w:rPr>
        <w:t>a</w:t>
      </w:r>
      <w:r w:rsidR="00594E5C">
        <w:rPr>
          <w:rFonts w:ascii="Palatino Linotype" w:eastAsia="Times New Roman" w:hAnsi="Palatino Linotype" w:cs="Arial"/>
          <w:sz w:val="24"/>
        </w:rPr>
        <w:t xml:space="preserve">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pro de que </w:t>
      </w:r>
      <w:r w:rsidR="008216B4" w:rsidRPr="008216B4">
        <w:rPr>
          <w:rFonts w:ascii="Palatino Linotype" w:eastAsia="Times New Roman" w:hAnsi="Palatino Linotype" w:cs="Arial"/>
          <w:sz w:val="24"/>
        </w:rPr>
        <w:t xml:space="preserve">el </w:t>
      </w:r>
      <w:r w:rsidR="008216B4" w:rsidRPr="008216B4">
        <w:rPr>
          <w:rFonts w:ascii="Palatino Linotype" w:eastAsia="Times New Roman" w:hAnsi="Palatino Linotype" w:cs="Arial"/>
          <w:b/>
          <w:sz w:val="24"/>
        </w:rPr>
        <w:t xml:space="preserve">SUJETO OBLIGADO </w:t>
      </w:r>
      <w:r>
        <w:rPr>
          <w:rFonts w:ascii="Palatino Linotype" w:eastAsia="Times New Roman" w:hAnsi="Palatino Linotype" w:cs="Arial"/>
          <w:sz w:val="24"/>
        </w:rPr>
        <w:t xml:space="preserve">haga entrega de la información solicitada, el </w:t>
      </w:r>
      <w:r>
        <w:rPr>
          <w:rFonts w:ascii="Palatino Linotype" w:eastAsia="Times New Roman" w:hAnsi="Palatino Linotype" w:cs="Arial"/>
          <w:b/>
          <w:sz w:val="24"/>
        </w:rPr>
        <w:t>RECURRENTE</w:t>
      </w:r>
      <w:r>
        <w:rPr>
          <w:rFonts w:ascii="Palatino Linotype" w:eastAsia="Times New Roman" w:hAnsi="Palatino Linotype" w:cs="Arial"/>
          <w:sz w:val="24"/>
        </w:rPr>
        <w:t xml:space="preserve"> habrá de pagar primeramente los derechos correspondientes, entendié</w:t>
      </w:r>
      <w:r w:rsidR="00BA67DA">
        <w:rPr>
          <w:rFonts w:ascii="Palatino Linotype" w:eastAsia="Times New Roman" w:hAnsi="Palatino Linotype" w:cs="Arial"/>
          <w:sz w:val="24"/>
        </w:rPr>
        <w:t xml:space="preserve">ndose, </w:t>
      </w:r>
      <w:r w:rsidR="00BA67DA" w:rsidRPr="001553F5">
        <w:rPr>
          <w:rFonts w:ascii="Palatino Linotype" w:eastAsia="Times New Roman" w:hAnsi="Palatino Linotype" w:cs="Arial"/>
          <w:sz w:val="24"/>
          <w:u w:val="single"/>
        </w:rPr>
        <w:t xml:space="preserve">pagar por que la </w:t>
      </w:r>
      <w:r w:rsidR="00BA67DA" w:rsidRPr="001553F5">
        <w:rPr>
          <w:rFonts w:ascii="Palatino Linotype" w:eastAsia="Times New Roman" w:hAnsi="Palatino Linotype" w:cs="Arial"/>
          <w:b/>
          <w:sz w:val="24"/>
          <w:u w:val="single"/>
        </w:rPr>
        <w:t>Universidad Politécnica del Valle de Toluca</w:t>
      </w:r>
      <w:r w:rsidR="00BA67DA" w:rsidRPr="001553F5">
        <w:rPr>
          <w:rFonts w:ascii="Palatino Linotype" w:eastAsia="Times New Roman" w:hAnsi="Palatino Linotype" w:cs="Arial"/>
          <w:sz w:val="24"/>
          <w:u w:val="single"/>
        </w:rPr>
        <w:t xml:space="preserve"> digitalice la información</w:t>
      </w:r>
      <w:r w:rsidR="008216B4" w:rsidRPr="001553F5">
        <w:rPr>
          <w:rFonts w:ascii="Palatino Linotype" w:eastAsia="Times New Roman" w:hAnsi="Palatino Linotype" w:cs="Arial"/>
          <w:sz w:val="24"/>
          <w:u w:val="single"/>
        </w:rPr>
        <w:t>.</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16449143"/>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 xml:space="preserve">Impone al Estado la obligación de protegerlo. Esto es, </w:t>
      </w:r>
      <w:r w:rsidR="001553F5">
        <w:rPr>
          <w:rFonts w:ascii="Palatino Linotype" w:hAnsi="Palatino Linotype" w:cs="Arial"/>
          <w:bCs/>
          <w:color w:val="000000" w:themeColor="text1"/>
          <w:sz w:val="24"/>
          <w:szCs w:val="24"/>
        </w:rPr>
        <w:t>resulta</w:t>
      </w:r>
      <w:r w:rsidRPr="00427B79">
        <w:rPr>
          <w:rFonts w:ascii="Palatino Linotype" w:hAnsi="Palatino Linotype" w:cs="Arial"/>
          <w:bCs/>
          <w:color w:val="000000" w:themeColor="text1"/>
          <w:sz w:val="24"/>
          <w:szCs w:val="24"/>
        </w:rPr>
        <w:t xml:space="preserve">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A67DA">
        <w:rPr>
          <w:rFonts w:ascii="Palatino Linotype" w:hAnsi="Palatino Linotype" w:cs="Arial"/>
          <w:bCs/>
          <w:color w:val="000000" w:themeColor="text1"/>
          <w:sz w:val="24"/>
          <w:szCs w:val="24"/>
          <w:u w:val="single"/>
        </w:rPr>
        <w:t>Otorga a todos los documentos en posesión de las autoridades la calidad de públicos</w:t>
      </w:r>
      <w:r w:rsidRPr="00427B79">
        <w:rPr>
          <w:rFonts w:ascii="Palatino Linotype" w:hAnsi="Palatino Linotype" w:cs="Arial"/>
          <w:bCs/>
          <w:color w:val="000000" w:themeColor="text1"/>
          <w:sz w:val="24"/>
          <w:szCs w:val="24"/>
        </w:rPr>
        <w:t xml:space="preserve">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w:t>
      </w:r>
      <w:r w:rsidRPr="00BA67DA">
        <w:rPr>
          <w:rFonts w:ascii="Palatino Linotype" w:hAnsi="Palatino Linotype" w:cs="Arial"/>
          <w:b/>
          <w:bCs/>
          <w:color w:val="000000" w:themeColor="text1"/>
          <w:sz w:val="24"/>
          <w:szCs w:val="24"/>
        </w:rPr>
        <w:t>máxima publicidad</w:t>
      </w:r>
      <w:r w:rsidRPr="00427B79">
        <w:rPr>
          <w:rFonts w:ascii="Palatino Linotype" w:hAnsi="Palatino Linotype" w:cs="Arial"/>
          <w:bCs/>
          <w:color w:val="000000" w:themeColor="text1"/>
          <w:sz w:val="24"/>
          <w:szCs w:val="24"/>
        </w:rPr>
        <w:t>,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001553F5" w:rsidRPr="001553F5">
        <w:rPr>
          <w:rFonts w:ascii="Palatino Linotype" w:hAnsi="Palatino Linotype" w:cs="Arial"/>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05008"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sz w:val="24"/>
          <w:szCs w:val="24"/>
        </w:rPr>
      </w:pPr>
      <w:r w:rsidRPr="00D35B4C">
        <w:rPr>
          <w:rFonts w:ascii="Palatino Linotype" w:hAnsi="Palatino Linotype"/>
          <w:sz w:val="24"/>
          <w:szCs w:val="24"/>
        </w:rPr>
        <w:t xml:space="preserve">Derivado de dicha obligación se </w:t>
      </w:r>
      <w:r w:rsidRPr="001553F5">
        <w:rPr>
          <w:rFonts w:ascii="Palatino Linotype" w:hAnsi="Palatino Linotype"/>
          <w:b/>
          <w:i/>
          <w:sz w:val="24"/>
          <w:szCs w:val="24"/>
        </w:rPr>
        <w:t xml:space="preserve">impone también la obligación de </w:t>
      </w:r>
      <w:r w:rsidRPr="001553F5">
        <w:rPr>
          <w:rFonts w:ascii="Palatino Linotype" w:hAnsi="Palatino Linotype"/>
          <w:b/>
          <w:bCs/>
          <w:i/>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205008" w:rsidRDefault="00205008" w:rsidP="00205008">
      <w:pPr>
        <w:pStyle w:val="Prrafodelista"/>
        <w:pBdr>
          <w:top w:val="nil"/>
          <w:left w:val="nil"/>
          <w:bottom w:val="nil"/>
          <w:right w:val="nil"/>
          <w:between w:val="nil"/>
          <w:bar w:val="nil"/>
        </w:pBdr>
        <w:spacing w:before="240" w:after="240" w:line="360" w:lineRule="auto"/>
        <w:ind w:left="0"/>
        <w:jc w:val="both"/>
        <w:rPr>
          <w:rFonts w:ascii="Palatino Linotype" w:hAnsi="Palatino Linotype"/>
          <w:bCs/>
          <w:color w:val="000000" w:themeColor="text1"/>
          <w:sz w:val="24"/>
          <w:szCs w:val="24"/>
        </w:rPr>
      </w:pPr>
    </w:p>
    <w:p w:rsidR="0003648B" w:rsidRPr="00D35B4C"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w:t>
      </w:r>
      <w:r w:rsidR="00F066CD">
        <w:rPr>
          <w:rFonts w:ascii="Palatino Linotype" w:hAnsi="Palatino Linotype"/>
          <w:bCs/>
          <w:color w:val="000000" w:themeColor="text1"/>
          <w:sz w:val="24"/>
          <w:szCs w:val="24"/>
        </w:rPr>
        <w:t xml:space="preserve">el mismo </w:t>
      </w:r>
      <w:r w:rsidR="00F066CD">
        <w:rPr>
          <w:rFonts w:ascii="Palatino Linotype" w:hAnsi="Palatino Linotype"/>
          <w:b/>
          <w:bCs/>
          <w:color w:val="000000" w:themeColor="text1"/>
          <w:sz w:val="24"/>
          <w:szCs w:val="24"/>
        </w:rPr>
        <w:t>SUJETO OBLIGADO</w:t>
      </w:r>
      <w:r w:rsidR="00F066CD">
        <w:rPr>
          <w:rFonts w:ascii="Palatino Linotype" w:hAnsi="Palatino Linotype"/>
          <w:bCs/>
          <w:color w:val="000000" w:themeColor="text1"/>
          <w:sz w:val="24"/>
          <w:szCs w:val="24"/>
        </w:rPr>
        <w:t xml:space="preserve"> se ha manifestado afirmativamente respecto de que posee, genera y administra la información solicitada</w:t>
      </w:r>
      <w:r w:rsidR="002770E2">
        <w:rPr>
          <w:rFonts w:ascii="Palatino Linotype" w:hAnsi="Palatino Linotype" w:cs="Arial"/>
          <w:b/>
          <w:sz w:val="24"/>
          <w:szCs w:val="24"/>
        </w:rPr>
        <w:t>,</w:t>
      </w:r>
      <w:r w:rsidR="002770E2">
        <w:rPr>
          <w:rFonts w:ascii="Palatino Linotype" w:hAnsi="Palatino Linotype" w:cs="Arial"/>
          <w:sz w:val="24"/>
          <w:szCs w:val="24"/>
        </w:rPr>
        <w:t xml:space="preserve"> no cabe la condicionante de que se hará entrega de la información previo pago de derechos por digitalización</w:t>
      </w:r>
      <w:r w:rsidR="0003648B" w:rsidRPr="00D35B4C">
        <w:rPr>
          <w:rFonts w:ascii="Palatino Linotype" w:hAnsi="Palatino Linotype" w:cs="Arial"/>
          <w:sz w:val="24"/>
          <w:szCs w:val="24"/>
        </w:rPr>
        <w:t>,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w:t>
      </w:r>
      <w:r w:rsidR="002770E2">
        <w:rPr>
          <w:rFonts w:ascii="Palatino Linotype" w:hAnsi="Palatino Linotype"/>
          <w:sz w:val="24"/>
          <w:szCs w:val="24"/>
        </w:rPr>
        <w:t>rcicio de sus atribuciones, debe</w:t>
      </w:r>
      <w:r w:rsidRPr="00D35B4C">
        <w:rPr>
          <w:rFonts w:ascii="Palatino Linotype" w:hAnsi="Palatino Linotype"/>
          <w:sz w:val="24"/>
          <w:szCs w:val="24"/>
        </w:rPr>
        <w:t xml:space="preserve"> generar, poseer o administrar la información, </w:t>
      </w:r>
      <w:r w:rsidR="002770E2">
        <w:rPr>
          <w:rFonts w:ascii="Palatino Linotype" w:hAnsi="Palatino Linotype"/>
          <w:sz w:val="24"/>
          <w:szCs w:val="24"/>
        </w:rPr>
        <w:t>deberá entenderse como información de oficio aplicable a la rendición de cuenta pública a pesar de no figurar en los preceptos legales aplicables de los artículos 92, 94 o 98 de la Ley de Transparencia y Acceso a la Información Pública del Estado de México y Municipios</w:t>
      </w:r>
      <w:r w:rsidRPr="00D35B4C">
        <w:rPr>
          <w:rFonts w:ascii="Palatino Linotype" w:hAnsi="Palatino Linotype"/>
          <w:sz w:val="24"/>
          <w:szCs w:val="24"/>
        </w:rPr>
        <w:t>.</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2770E2"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Pr>
          <w:rFonts w:ascii="Palatino Linotype" w:hAnsi="Palatino Linotype"/>
          <w:sz w:val="24"/>
          <w:szCs w:val="24"/>
        </w:rPr>
        <w:t xml:space="preserve">El cobro por digitalizar archivos o documentos reconocido dentro del artículo 73 fracción VI del Código Financiero del Estado de México, </w:t>
      </w:r>
      <w:r w:rsidRPr="00F066CD">
        <w:rPr>
          <w:rFonts w:ascii="Palatino Linotype" w:hAnsi="Palatino Linotype"/>
          <w:sz w:val="24"/>
          <w:szCs w:val="24"/>
          <w:u w:val="single"/>
        </w:rPr>
        <w:t>contradice los Lineamientos para la Organización y Conservación de Archivos</w:t>
      </w:r>
      <w:r>
        <w:rPr>
          <w:rFonts w:ascii="Palatino Linotype" w:hAnsi="Palatino Linotype"/>
          <w:sz w:val="24"/>
          <w:szCs w:val="24"/>
        </w:rPr>
        <w:t>, del Sistema Nacional de Transparencia, Acceso a la Información Pública y Protección de Datos Personales</w:t>
      </w:r>
      <w:r w:rsidR="0003648B" w:rsidRPr="00D35B4C">
        <w:rPr>
          <w:rFonts w:ascii="Palatino Linotype" w:hAnsi="Palatino Linotype"/>
          <w:sz w:val="24"/>
          <w:szCs w:val="24"/>
        </w:rPr>
        <w:t>.</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064D12" w:rsidRDefault="0003648B" w:rsidP="00931CD6">
      <w:pPr>
        <w:pStyle w:val="Prrafodelista"/>
        <w:numPr>
          <w:ilvl w:val="0"/>
          <w:numId w:val="1"/>
        </w:numPr>
        <w:autoSpaceDE w:val="0"/>
        <w:autoSpaceDN w:val="0"/>
        <w:adjustRightInd w:val="0"/>
        <w:spacing w:before="240" w:after="240" w:line="360" w:lineRule="auto"/>
        <w:ind w:right="51"/>
        <w:jc w:val="both"/>
        <w:rPr>
          <w:rFonts w:ascii="Palatino Linotype" w:hAnsi="Palatino Linotype"/>
          <w:sz w:val="24"/>
          <w:szCs w:val="24"/>
        </w:rPr>
      </w:pPr>
      <w:r w:rsidRPr="00064D12">
        <w:rPr>
          <w:rFonts w:ascii="Palatino Linotype" w:hAnsi="Palatino Linotype" w:cs="Arial"/>
          <w:sz w:val="24"/>
          <w:szCs w:val="24"/>
        </w:rPr>
        <w:t xml:space="preserve">En razón a las consideraciones antes señaladas es que no puedo compartir el sentido de la resolución adoptada, </w:t>
      </w:r>
      <w:r w:rsidR="00D35B4C" w:rsidRPr="00064D12">
        <w:rPr>
          <w:rFonts w:ascii="Palatino Linotype" w:hAnsi="Palatino Linotype" w:cs="Arial"/>
          <w:sz w:val="24"/>
          <w:szCs w:val="24"/>
        </w:rPr>
        <w:t>y me permito manifestar lo siguiente en el presente voto particular:</w:t>
      </w:r>
    </w:p>
    <w:p w:rsidR="00680533" w:rsidRPr="00064D12" w:rsidRDefault="00835C8D" w:rsidP="00835C8D">
      <w:pPr>
        <w:pStyle w:val="Ttulo1"/>
        <w:rPr>
          <w:rFonts w:eastAsia="Calibri"/>
          <w:b w:val="0"/>
          <w:color w:val="auto"/>
          <w:szCs w:val="24"/>
        </w:rPr>
      </w:pPr>
      <w:bookmarkStart w:id="4" w:name="_Toc516449144"/>
      <w:r w:rsidRPr="00064D12">
        <w:rPr>
          <w:rFonts w:eastAsia="Calibri"/>
          <w:color w:val="auto"/>
          <w:szCs w:val="24"/>
        </w:rPr>
        <w:t xml:space="preserve">IV. </w:t>
      </w:r>
      <w:r w:rsidR="00680533" w:rsidRPr="00064D12">
        <w:rPr>
          <w:rFonts w:eastAsia="Calibri"/>
          <w:color w:val="auto"/>
          <w:szCs w:val="24"/>
        </w:rPr>
        <w:t>Del Pr</w:t>
      </w:r>
      <w:r w:rsidR="002770E2" w:rsidRPr="00064D12">
        <w:rPr>
          <w:rFonts w:eastAsia="Calibri"/>
          <w:color w:val="auto"/>
          <w:szCs w:val="24"/>
        </w:rPr>
        <w:t>incipio de Gratuidad</w:t>
      </w:r>
      <w:bookmarkEnd w:id="4"/>
    </w:p>
    <w:p w:rsidR="00E6179D" w:rsidRPr="00064D12" w:rsidRDefault="00E6179D" w:rsidP="00E6179D">
      <w:pPr>
        <w:spacing w:after="0" w:line="360" w:lineRule="auto"/>
        <w:contextualSpacing/>
        <w:jc w:val="both"/>
        <w:rPr>
          <w:rFonts w:ascii="Palatino Linotype" w:eastAsia="Calibri" w:hAnsi="Palatino Linotype" w:cs="Arial"/>
          <w:sz w:val="24"/>
          <w:szCs w:val="24"/>
        </w:rPr>
      </w:pPr>
    </w:p>
    <w:p w:rsidR="002770E2" w:rsidRPr="00064D12"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064D12">
        <w:rPr>
          <w:rFonts w:ascii="Palatino Linotype" w:hAnsi="Palatino Linotype" w:cs="Arial"/>
          <w:bCs/>
          <w:color w:val="000000" w:themeColor="text1"/>
          <w:sz w:val="24"/>
          <w:szCs w:val="24"/>
        </w:rPr>
        <w:t xml:space="preserve">Como parte del Derecho de Acceso a la Información Pública se contempla la observancia de principios en su carácter de </w:t>
      </w:r>
      <w:r w:rsidRPr="00064D12">
        <w:rPr>
          <w:rFonts w:ascii="Palatino Linotype" w:hAnsi="Palatino Linotype" w:cs="Arial"/>
          <w:b/>
          <w:bCs/>
          <w:color w:val="000000" w:themeColor="text1"/>
          <w:sz w:val="24"/>
          <w:szCs w:val="24"/>
          <w:u w:val="single"/>
        </w:rPr>
        <w:t>gratuita</w:t>
      </w:r>
      <w:r w:rsidRPr="00064D12">
        <w:rPr>
          <w:rFonts w:ascii="Palatino Linotype" w:hAnsi="Palatino Linotype" w:cs="Arial"/>
          <w:bCs/>
          <w:color w:val="000000" w:themeColor="text1"/>
          <w:sz w:val="24"/>
          <w:szCs w:val="24"/>
        </w:rPr>
        <w:t xml:space="preserve">, veraz, confiable, oportuna, </w:t>
      </w:r>
      <w:r w:rsidRPr="00064D12">
        <w:rPr>
          <w:rFonts w:ascii="Palatino Linotype" w:hAnsi="Palatino Linotype" w:cs="Arial"/>
          <w:bCs/>
          <w:color w:val="000000" w:themeColor="text1"/>
          <w:sz w:val="24"/>
          <w:szCs w:val="24"/>
        </w:rPr>
        <w:lastRenderedPageBreak/>
        <w:t xml:space="preserve">congruente, integral, actualizada, accesible, comprensible, verificable y de fácil acceso. </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C1792A">
        <w:rPr>
          <w:rFonts w:ascii="Palatino Linotype" w:hAnsi="Palatino Linotype" w:cs="Arial"/>
          <w:iCs/>
          <w:color w:val="000000" w:themeColor="text1"/>
          <w:sz w:val="24"/>
          <w:szCs w:val="24"/>
        </w:rPr>
        <w:t xml:space="preserve">La </w:t>
      </w:r>
      <w:r w:rsidRPr="00C1792A">
        <w:rPr>
          <w:rFonts w:ascii="Palatino Linotype" w:hAnsi="Palatino Linotype" w:cs="Arial"/>
          <w:b/>
          <w:bCs/>
          <w:color w:val="000000" w:themeColor="text1"/>
          <w:sz w:val="24"/>
          <w:szCs w:val="24"/>
        </w:rPr>
        <w:t>Ley General de Transparencia y Acceso a la Información Pública</w:t>
      </w:r>
      <w:r w:rsidRPr="00C1792A">
        <w:rPr>
          <w:rFonts w:ascii="Palatino Linotype" w:hAnsi="Palatino Linotype" w:cs="Arial"/>
          <w:bCs/>
          <w:color w:val="000000" w:themeColor="text1"/>
          <w:sz w:val="24"/>
          <w:szCs w:val="24"/>
        </w:rPr>
        <w:t xml:space="preserve"> señala explícitamente </w:t>
      </w:r>
      <w:r w:rsidR="0037144D">
        <w:rPr>
          <w:rFonts w:ascii="Palatino Linotype" w:hAnsi="Palatino Linotype" w:cs="Arial"/>
          <w:bCs/>
          <w:color w:val="000000" w:themeColor="text1"/>
          <w:sz w:val="24"/>
          <w:szCs w:val="24"/>
        </w:rPr>
        <w:t xml:space="preserve">en su artículo 17 </w:t>
      </w:r>
      <w:r w:rsidRPr="00C1792A">
        <w:rPr>
          <w:rFonts w:ascii="Palatino Linotype" w:hAnsi="Palatino Linotype" w:cs="Arial"/>
          <w:bCs/>
          <w:color w:val="000000" w:themeColor="text1"/>
          <w:sz w:val="24"/>
          <w:szCs w:val="24"/>
        </w:rPr>
        <w:t>que el ejercicio del derecho de acceso a la información será gratuito y sólo podrá requerirse el cobro correspondiente a la modalidad de reproducción y entrega solicitada.</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 xml:space="preserve">Dentro de los principios que la </w:t>
      </w:r>
      <w:r w:rsidR="0037144D">
        <w:rPr>
          <w:rFonts w:ascii="Palatino Linotype" w:hAnsi="Palatino Linotype" w:cs="Arial"/>
          <w:bCs/>
          <w:sz w:val="24"/>
          <w:szCs w:val="24"/>
        </w:rPr>
        <w:t>C</w:t>
      </w:r>
      <w:r w:rsidRPr="00C1792A">
        <w:rPr>
          <w:rFonts w:ascii="Palatino Linotype" w:hAnsi="Palatino Linotype" w:cs="Arial"/>
          <w:bCs/>
          <w:sz w:val="24"/>
          <w:szCs w:val="24"/>
        </w:rPr>
        <w:t xml:space="preserve">onstitución </w:t>
      </w:r>
      <w:r w:rsidR="0037144D">
        <w:rPr>
          <w:rFonts w:ascii="Palatino Linotype" w:hAnsi="Palatino Linotype" w:cs="Arial"/>
          <w:bCs/>
          <w:sz w:val="24"/>
          <w:szCs w:val="24"/>
        </w:rPr>
        <w:t>Política del Estado Libre y Soberano de México,</w:t>
      </w:r>
      <w:r w:rsidRPr="00C1792A">
        <w:rPr>
          <w:rFonts w:ascii="Palatino Linotype" w:hAnsi="Palatino Linotype" w:cs="Arial"/>
          <w:bCs/>
          <w:sz w:val="24"/>
          <w:szCs w:val="24"/>
        </w:rPr>
        <w:t xml:space="preserve"> señala para hacer efectivo el derecho de acceso a la información pública, se encuentra el de la </w:t>
      </w:r>
      <w:r w:rsidRPr="00C1792A">
        <w:rPr>
          <w:rFonts w:ascii="Palatino Linotype" w:hAnsi="Palatino Linotype" w:cs="Arial"/>
          <w:b/>
          <w:bCs/>
          <w:sz w:val="24"/>
          <w:szCs w:val="24"/>
        </w:rPr>
        <w:t>gratuidad</w:t>
      </w:r>
      <w:r w:rsidRPr="00C1792A">
        <w:rPr>
          <w:rFonts w:ascii="Palatino Linotype" w:hAnsi="Palatino Linotype" w:cs="Arial"/>
          <w:bCs/>
          <w:sz w:val="24"/>
          <w:szCs w:val="24"/>
        </w:rPr>
        <w:t xml:space="preserve"> y el </w:t>
      </w:r>
      <w:r w:rsidRPr="00C1792A">
        <w:rPr>
          <w:rFonts w:ascii="Palatino Linotype" w:hAnsi="Palatino Linotype" w:cs="Arial"/>
          <w:b/>
          <w:bCs/>
          <w:sz w:val="24"/>
          <w:szCs w:val="24"/>
        </w:rPr>
        <w:t>uso de las herramientas tecnológicas de la información</w:t>
      </w:r>
      <w:r w:rsidRPr="00C1792A">
        <w:rPr>
          <w:rFonts w:ascii="Palatino Linotype" w:hAnsi="Palatino Linotype" w:cs="Arial"/>
          <w:bCs/>
          <w:sz w:val="24"/>
          <w:szCs w:val="24"/>
        </w:rPr>
        <w:t xml:space="preserve"> puesta a disposición, tanto de los particulares como de los </w:t>
      </w:r>
      <w:r w:rsidRPr="00C1792A">
        <w:rPr>
          <w:rFonts w:ascii="Palatino Linotype" w:hAnsi="Palatino Linotype" w:cs="Arial"/>
          <w:b/>
          <w:bCs/>
          <w:sz w:val="24"/>
          <w:szCs w:val="24"/>
        </w:rPr>
        <w:t>SUJETOS OBLIGADOS</w:t>
      </w:r>
      <w:r w:rsidRPr="00C1792A">
        <w:rPr>
          <w:rFonts w:ascii="Palatino Linotype" w:hAnsi="Palatino Linotype" w:cs="Arial"/>
          <w:bCs/>
          <w:sz w:val="24"/>
          <w:szCs w:val="24"/>
        </w:rPr>
        <w:t xml:space="preserve">. Es por esta razón que la </w:t>
      </w:r>
      <w:r w:rsidRPr="00C1792A">
        <w:rPr>
          <w:rFonts w:ascii="Palatino Linotype" w:hAnsi="Palatino Linotype" w:cs="Arial"/>
          <w:b/>
          <w:bCs/>
          <w:sz w:val="24"/>
          <w:szCs w:val="24"/>
        </w:rPr>
        <w:t>Ley de Transparencia y Acceso a la Información Pública del Estado de México y Municipios</w:t>
      </w:r>
      <w:r w:rsidRPr="00C1792A">
        <w:rPr>
          <w:rFonts w:ascii="Palatino Linotype" w:hAnsi="Palatino Linotype" w:cs="Arial"/>
          <w:bCs/>
          <w:sz w:val="24"/>
          <w:szCs w:val="24"/>
        </w:rPr>
        <w:t xml:space="preserve">, en concordancia con la Ley General de Transparencia y la Constitución local señala las directrices y procedimientos que deben seguirse para poner a disposición de las personas la información. </w:t>
      </w:r>
    </w:p>
    <w:p w:rsidR="002770E2" w:rsidRPr="00C1792A" w:rsidRDefault="002770E2" w:rsidP="002770E2">
      <w:pPr>
        <w:pStyle w:val="Prrafodelista"/>
        <w:rPr>
          <w:rFonts w:ascii="Palatino Linotype" w:hAnsi="Palatino Linotype" w:cs="Arial"/>
          <w:bCs/>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 xml:space="preserve">De manera específica el artículo 9 fracción III de la Ley de Transparencia y Acceso a la Información Pública del Estado de México y Municipios establece: </w:t>
      </w:r>
    </w:p>
    <w:p w:rsidR="002770E2" w:rsidRDefault="002770E2" w:rsidP="002770E2">
      <w:pPr>
        <w:spacing w:before="240" w:after="0" w:line="360" w:lineRule="auto"/>
        <w:ind w:left="851" w:right="616"/>
        <w:contextualSpacing/>
        <w:jc w:val="both"/>
        <w:rPr>
          <w:rFonts w:ascii="Palatino Linotype" w:hAnsi="Palatino Linotype"/>
          <w:i/>
        </w:rPr>
      </w:pPr>
      <w:r>
        <w:rPr>
          <w:rFonts w:ascii="Palatino Linotype" w:hAnsi="Palatino Linotype"/>
          <w:b/>
          <w:i/>
        </w:rPr>
        <w:t xml:space="preserve">Artículo 9. </w:t>
      </w:r>
      <w:r w:rsidRPr="008A4DE7">
        <w:rPr>
          <w:rFonts w:ascii="Palatino Linotype" w:hAnsi="Palatino Linotype"/>
          <w:i/>
        </w:rPr>
        <w:t>El Instituto deberá regir su funcionamiento de acuerdo a los siguientes principios:</w:t>
      </w:r>
    </w:p>
    <w:p w:rsidR="002770E2" w:rsidRPr="008A4DE7" w:rsidRDefault="002770E2" w:rsidP="002770E2">
      <w:pPr>
        <w:spacing w:before="240" w:after="0" w:line="360" w:lineRule="auto"/>
        <w:ind w:left="851" w:right="616"/>
        <w:contextualSpacing/>
        <w:jc w:val="both"/>
        <w:rPr>
          <w:rFonts w:ascii="Palatino Linotype" w:hAnsi="Palatino Linotype" w:cs="Arial"/>
          <w:b/>
          <w:i/>
          <w:iCs/>
          <w:color w:val="000000" w:themeColor="text1"/>
          <w:sz w:val="24"/>
          <w:szCs w:val="24"/>
        </w:rPr>
      </w:pPr>
      <w:r>
        <w:rPr>
          <w:rFonts w:ascii="Palatino Linotype" w:hAnsi="Palatino Linotype"/>
          <w:b/>
          <w:i/>
        </w:rPr>
        <w:lastRenderedPageBreak/>
        <w:t>…</w:t>
      </w:r>
    </w:p>
    <w:p w:rsidR="002770E2" w:rsidRDefault="002770E2" w:rsidP="002770E2">
      <w:pPr>
        <w:spacing w:line="360" w:lineRule="auto"/>
        <w:ind w:left="851" w:right="616"/>
        <w:jc w:val="both"/>
        <w:rPr>
          <w:rFonts w:ascii="Palatino Linotype" w:hAnsi="Palatino Linotype"/>
          <w:i/>
        </w:rPr>
      </w:pPr>
      <w:r w:rsidRPr="008A4DE7">
        <w:rPr>
          <w:rFonts w:ascii="Palatino Linotype" w:hAnsi="Palatino Linotype"/>
          <w:i/>
        </w:rPr>
        <w:t xml:space="preserve">III. Gratuidad: Consiste en que el acceso a la información pública </w:t>
      </w:r>
      <w:r w:rsidRPr="008A4DE7">
        <w:rPr>
          <w:rFonts w:ascii="Palatino Linotype" w:hAnsi="Palatino Linotype"/>
          <w:b/>
          <w:i/>
        </w:rPr>
        <w:t>no genera costo alguno para los solicitantes</w:t>
      </w:r>
      <w:r w:rsidRPr="008A4DE7">
        <w:rPr>
          <w:rFonts w:ascii="Palatino Linotype" w:hAnsi="Palatino Linotype"/>
          <w:i/>
        </w:rPr>
        <w:t xml:space="preserve">, </w:t>
      </w:r>
      <w:r w:rsidRPr="008A4DE7">
        <w:rPr>
          <w:rFonts w:ascii="Palatino Linotype" w:hAnsi="Palatino Linotype"/>
          <w:b/>
          <w:i/>
        </w:rPr>
        <w:t>sólo podrá requerirse el cobro correspondiente a la modalidad de reproducción y entrega solicitada</w:t>
      </w:r>
      <w:r w:rsidRPr="008A4DE7">
        <w:rPr>
          <w:rFonts w:ascii="Palatino Linotype" w:hAnsi="Palatino Linotype"/>
          <w:i/>
        </w:rPr>
        <w:t xml:space="preserve"> conforme a lo establecido en la presente Ley y demás disposiciones jurídicas aplicables;</w:t>
      </w:r>
    </w:p>
    <w:p w:rsidR="002770E2"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En este orden de ideas el artículo 150 de la Ley en referencia en su texto literal refiere: </w:t>
      </w:r>
    </w:p>
    <w:p w:rsidR="002770E2" w:rsidRDefault="002770E2" w:rsidP="002770E2">
      <w:pPr>
        <w:pStyle w:val="Prrafodelista"/>
        <w:spacing w:before="240" w:after="240" w:line="360" w:lineRule="auto"/>
        <w:jc w:val="both"/>
        <w:rPr>
          <w:rFonts w:ascii="Palatino Linotype" w:hAnsi="Palatino Linotype" w:cs="Arial"/>
          <w:bCs/>
          <w:sz w:val="24"/>
          <w:szCs w:val="24"/>
        </w:rPr>
      </w:pPr>
    </w:p>
    <w:p w:rsidR="002770E2" w:rsidRDefault="002770E2" w:rsidP="002770E2">
      <w:pPr>
        <w:pStyle w:val="Prrafodelista"/>
        <w:spacing w:before="240" w:after="240" w:line="360" w:lineRule="auto"/>
        <w:ind w:left="851" w:right="616"/>
        <w:jc w:val="both"/>
        <w:rPr>
          <w:rFonts w:ascii="Palatino Linotype" w:hAnsi="Palatino Linotype"/>
          <w:i/>
        </w:rPr>
      </w:pPr>
      <w:r>
        <w:rPr>
          <w:rFonts w:ascii="Palatino Linotype" w:hAnsi="Palatino Linotype"/>
          <w:i/>
        </w:rPr>
        <w:t>“</w:t>
      </w:r>
      <w:r w:rsidRPr="008A4DE7">
        <w:rPr>
          <w:rFonts w:ascii="Palatino Linotype" w:hAnsi="Palatino Linotype"/>
          <w:b/>
          <w:i/>
        </w:rPr>
        <w:t>Artículo 150.</w:t>
      </w:r>
      <w:r w:rsidRPr="008A4DE7">
        <w:rPr>
          <w:rFonts w:ascii="Palatino Linotype" w:hAnsi="Palatino Linotype"/>
          <w:i/>
        </w:rPr>
        <w:t xml:space="preserve"> El procedimiento de acceso a la información es la garantía primaria del derecho en cuestión y se rige por los principios de simplicidad, rapidez</w:t>
      </w:r>
      <w:r w:rsidR="00807D77">
        <w:rPr>
          <w:rFonts w:ascii="Palatino Linotype" w:hAnsi="Palatino Linotype"/>
          <w:i/>
        </w:rPr>
        <w:t xml:space="preserve">, </w:t>
      </w:r>
      <w:r w:rsidRPr="008A4DE7">
        <w:rPr>
          <w:rFonts w:ascii="Palatino Linotype" w:hAnsi="Palatino Linotype"/>
          <w:b/>
          <w:i/>
        </w:rPr>
        <w:t>gratuidad del procedimiento</w:t>
      </w:r>
      <w:r w:rsidRPr="008A4DE7">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rsidR="002770E2" w:rsidRPr="008A4DE7" w:rsidRDefault="002770E2" w:rsidP="002770E2">
      <w:pPr>
        <w:pStyle w:val="Prrafodelista"/>
        <w:spacing w:before="240" w:after="240" w:line="360" w:lineRule="auto"/>
        <w:ind w:left="851" w:right="616"/>
        <w:jc w:val="both"/>
        <w:rPr>
          <w:rFonts w:ascii="Palatino Linotype" w:hAnsi="Palatino Linotype" w:cs="Arial"/>
          <w:bCs/>
          <w:i/>
          <w:sz w:val="24"/>
          <w:szCs w:val="24"/>
        </w:rPr>
      </w:pPr>
    </w:p>
    <w:p w:rsidR="002770E2" w:rsidRPr="00194443" w:rsidRDefault="002770E2" w:rsidP="002770E2">
      <w:pPr>
        <w:pStyle w:val="Prrafodelista"/>
        <w:numPr>
          <w:ilvl w:val="0"/>
          <w:numId w:val="1"/>
        </w:numPr>
        <w:spacing w:before="240" w:after="240" w:line="360" w:lineRule="auto"/>
        <w:jc w:val="both"/>
        <w:rPr>
          <w:rFonts w:ascii="Palatino Linotype" w:eastAsia="Times New Roman" w:hAnsi="Palatino Linotype" w:cs="Arial"/>
          <w:sz w:val="24"/>
          <w:szCs w:val="24"/>
        </w:rPr>
      </w:pPr>
      <w:r w:rsidRPr="00194443">
        <w:rPr>
          <w:rFonts w:ascii="Palatino Linotype" w:hAnsi="Palatino Linotype" w:cs="Arial"/>
          <w:bCs/>
          <w:sz w:val="24"/>
          <w:szCs w:val="24"/>
        </w:rPr>
        <w:t xml:space="preserve">Para satisfacer plenamente el Derecho de Acceso a la Información Pública, este Órgano Garante debe velar por que el procedimiento de Acceso a la Información </w:t>
      </w:r>
      <w:r w:rsidR="003E1591">
        <w:rPr>
          <w:rFonts w:ascii="Palatino Linotype" w:hAnsi="Palatino Linotype" w:cs="Arial"/>
          <w:bCs/>
          <w:sz w:val="24"/>
          <w:szCs w:val="24"/>
        </w:rPr>
        <w:t>Q</w:t>
      </w:r>
      <w:r w:rsidRPr="00194443">
        <w:rPr>
          <w:rFonts w:ascii="Palatino Linotype" w:hAnsi="Palatino Linotype" w:cs="Arial"/>
          <w:bCs/>
          <w:sz w:val="24"/>
          <w:szCs w:val="24"/>
        </w:rPr>
        <w:t xml:space="preserve">ue es la garantía primaria del derecho en cuestión se observen los principios de simplicidad, rapidez </w:t>
      </w:r>
      <w:r w:rsidRPr="00194443">
        <w:rPr>
          <w:rFonts w:ascii="Palatino Linotype" w:hAnsi="Palatino Linotype" w:cs="Arial"/>
          <w:b/>
          <w:bCs/>
          <w:i/>
          <w:sz w:val="24"/>
          <w:szCs w:val="24"/>
        </w:rPr>
        <w:t>gratuidad del procedimiento</w:t>
      </w:r>
      <w:r w:rsidRPr="00194443">
        <w:rPr>
          <w:rFonts w:ascii="Palatino Linotype" w:hAnsi="Palatino Linotype" w:cs="Arial"/>
          <w:bCs/>
          <w:sz w:val="24"/>
          <w:szCs w:val="24"/>
        </w:rPr>
        <w:t xml:space="preserve">, así como auxilio y orientación a los particulares con el propósito de otorgar la protección más amplia del derecho humano de las personas. </w:t>
      </w:r>
    </w:p>
    <w:p w:rsidR="002770E2" w:rsidRPr="00194443" w:rsidRDefault="002770E2" w:rsidP="002770E2">
      <w:pPr>
        <w:pStyle w:val="Prrafodelista"/>
        <w:spacing w:before="240" w:after="240" w:line="360" w:lineRule="auto"/>
        <w:jc w:val="both"/>
        <w:rPr>
          <w:rFonts w:ascii="Palatino Linotype" w:eastAsia="Times New Roman" w:hAnsi="Palatino Linotype" w:cs="Arial"/>
          <w:sz w:val="24"/>
          <w:szCs w:val="24"/>
        </w:rPr>
      </w:pPr>
    </w:p>
    <w:p w:rsidR="002770E2" w:rsidRPr="003E1591"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lastRenderedPageBreak/>
        <w:t>De los preceptos jurídicos citados se advierte que para garantizar plenamente el Derecho de Acceso a la Información Pública, se deben observar cada uno de los principios que la propia ley señala, y así como es importante el principio de máxima publicidad, también</w:t>
      </w:r>
      <w:r w:rsidR="0037144D">
        <w:rPr>
          <w:rFonts w:ascii="Palatino Linotype" w:hAnsi="Palatino Linotype" w:cs="Arial"/>
          <w:bCs/>
          <w:sz w:val="24"/>
          <w:szCs w:val="24"/>
        </w:rPr>
        <w:t xml:space="preserve"> lo es</w:t>
      </w:r>
      <w:r w:rsidRPr="00C1792A">
        <w:rPr>
          <w:rFonts w:ascii="Palatino Linotype" w:hAnsi="Palatino Linotype" w:cs="Arial"/>
          <w:bCs/>
          <w:sz w:val="24"/>
          <w:szCs w:val="24"/>
        </w:rPr>
        <w:t xml:space="preserve"> el principio</w:t>
      </w:r>
      <w:r w:rsidR="0037144D">
        <w:rPr>
          <w:rFonts w:ascii="Palatino Linotype" w:hAnsi="Palatino Linotype" w:cs="Arial"/>
          <w:bCs/>
          <w:sz w:val="24"/>
          <w:szCs w:val="24"/>
        </w:rPr>
        <w:t xml:space="preserve"> de gratuidad del procedimiento</w:t>
      </w:r>
      <w:r w:rsidRPr="00C1792A">
        <w:rPr>
          <w:rFonts w:ascii="Palatino Linotype" w:hAnsi="Palatino Linotype" w:cs="Arial"/>
          <w:bCs/>
          <w:sz w:val="24"/>
          <w:szCs w:val="24"/>
        </w:rPr>
        <w:t>, y la Ley es muy clara al especificar que: “</w:t>
      </w:r>
      <w:r w:rsidRPr="00C1792A">
        <w:rPr>
          <w:rFonts w:ascii="Palatino Linotype" w:hAnsi="Palatino Linotype"/>
          <w:b/>
          <w:i/>
          <w:sz w:val="24"/>
          <w:szCs w:val="24"/>
        </w:rPr>
        <w:t xml:space="preserve">sólo podrá requerirse el cobro correspondiente a la modalidad de reproducción y entrega solicitada” </w:t>
      </w:r>
      <w:r w:rsidRPr="00C1792A">
        <w:rPr>
          <w:rFonts w:ascii="Palatino Linotype" w:hAnsi="Palatino Linotype"/>
          <w:sz w:val="24"/>
          <w:szCs w:val="24"/>
        </w:rPr>
        <w:t>y en el caso</w:t>
      </w:r>
      <w:r w:rsidR="0037144D">
        <w:rPr>
          <w:rFonts w:ascii="Palatino Linotype" w:hAnsi="Palatino Linotype"/>
          <w:sz w:val="24"/>
          <w:szCs w:val="24"/>
        </w:rPr>
        <w:t xml:space="preserve"> concreto</w:t>
      </w:r>
      <w:r w:rsidRPr="00C1792A">
        <w:rPr>
          <w:rFonts w:ascii="Palatino Linotype" w:hAnsi="Palatino Linotype"/>
          <w:sz w:val="24"/>
          <w:szCs w:val="24"/>
        </w:rPr>
        <w:t xml:space="preserve"> sobre el cual </w:t>
      </w:r>
      <w:r w:rsidR="0037144D">
        <w:rPr>
          <w:rFonts w:ascii="Palatino Linotype" w:hAnsi="Palatino Linotype"/>
          <w:sz w:val="24"/>
          <w:szCs w:val="24"/>
        </w:rPr>
        <w:t>emito</w:t>
      </w:r>
      <w:r w:rsidRPr="00C1792A">
        <w:rPr>
          <w:rFonts w:ascii="Palatino Linotype" w:hAnsi="Palatino Linotype"/>
          <w:sz w:val="24"/>
          <w:szCs w:val="24"/>
        </w:rPr>
        <w:t xml:space="preserve"> </w:t>
      </w:r>
      <w:r w:rsidR="00807D77">
        <w:rPr>
          <w:rFonts w:ascii="Palatino Linotype" w:hAnsi="Palatino Linotype"/>
          <w:sz w:val="24"/>
          <w:szCs w:val="24"/>
        </w:rPr>
        <w:t>mi</w:t>
      </w:r>
      <w:r w:rsidRPr="00C1792A">
        <w:rPr>
          <w:rFonts w:ascii="Palatino Linotype" w:hAnsi="Palatino Linotype"/>
          <w:sz w:val="24"/>
          <w:szCs w:val="24"/>
        </w:rPr>
        <w:t xml:space="preserve"> voto particular</w:t>
      </w:r>
      <w:r w:rsidR="0037144D">
        <w:rPr>
          <w:rFonts w:ascii="Palatino Linotype" w:hAnsi="Palatino Linotype"/>
          <w:sz w:val="24"/>
          <w:szCs w:val="24"/>
        </w:rPr>
        <w:t>,</w:t>
      </w:r>
      <w:r w:rsidR="00807D77">
        <w:rPr>
          <w:rFonts w:ascii="Palatino Linotype" w:hAnsi="Palatino Linotype"/>
          <w:sz w:val="24"/>
          <w:szCs w:val="24"/>
        </w:rPr>
        <w:t xml:space="preserve"> el</w:t>
      </w:r>
      <w:r w:rsidRPr="00C1792A">
        <w:rPr>
          <w:rFonts w:ascii="Palatino Linotype" w:hAnsi="Palatino Linotype"/>
          <w:sz w:val="24"/>
          <w:szCs w:val="24"/>
        </w:rPr>
        <w:t xml:space="preserve"> </w:t>
      </w:r>
      <w:r w:rsidRPr="00C1792A">
        <w:rPr>
          <w:rFonts w:ascii="Palatino Linotype" w:hAnsi="Palatino Linotype"/>
          <w:b/>
          <w:sz w:val="24"/>
          <w:szCs w:val="24"/>
        </w:rPr>
        <w:t xml:space="preserve">RECURRENTE, </w:t>
      </w:r>
      <w:r w:rsidRPr="00C1792A">
        <w:rPr>
          <w:rFonts w:ascii="Palatino Linotype" w:hAnsi="Palatino Linotype"/>
          <w:sz w:val="24"/>
          <w:szCs w:val="24"/>
        </w:rPr>
        <w:t>al formular la solicitud de información, requirió que la misma se le entregara vía SAIMEX, no así en copias simples o c</w:t>
      </w:r>
      <w:r w:rsidR="0037144D">
        <w:rPr>
          <w:rFonts w:ascii="Palatino Linotype" w:hAnsi="Palatino Linotype"/>
          <w:sz w:val="24"/>
          <w:szCs w:val="24"/>
        </w:rPr>
        <w:t>opias certificadas (con costo).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F42B04"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 xml:space="preserve">Del mismo modo, no se debe ignorar que el Archivo General de la Nación, dentro de sus </w:t>
      </w:r>
      <w:r>
        <w:rPr>
          <w:rFonts w:ascii="Palatino Linotype" w:hAnsi="Palatino Linotype"/>
          <w:b/>
          <w:i/>
          <w:sz w:val="24"/>
          <w:szCs w:val="24"/>
        </w:rPr>
        <w:t>Recomendaciones para proyectos de digitalización de documentos</w:t>
      </w:r>
      <w:r>
        <w:rPr>
          <w:rFonts w:ascii="Palatino Linotype" w:hAnsi="Palatino Linotype"/>
          <w:sz w:val="24"/>
          <w:szCs w:val="24"/>
        </w:rPr>
        <w:t>, concibe al objeto de digitalización de la siguiente manera:</w:t>
      </w:r>
    </w:p>
    <w:p w:rsidR="00F42B04" w:rsidRPr="00F42B04" w:rsidRDefault="00F42B04" w:rsidP="00F42B04">
      <w:pPr>
        <w:pStyle w:val="Prrafodelista"/>
        <w:rPr>
          <w:rFonts w:ascii="Palatino Linotype" w:hAnsi="Palatino Linotype" w:cs="Arial"/>
          <w:bCs/>
          <w:sz w:val="24"/>
          <w:szCs w:val="24"/>
        </w:rPr>
      </w:pPr>
    </w:p>
    <w:p w:rsidR="00F42B04" w:rsidRPr="003E1591" w:rsidRDefault="00F42B04" w:rsidP="00F42B04">
      <w:pPr>
        <w:pStyle w:val="Prrafodelista"/>
        <w:spacing w:before="240" w:after="240" w:line="360" w:lineRule="auto"/>
        <w:ind w:left="360"/>
        <w:jc w:val="both"/>
        <w:rPr>
          <w:rFonts w:ascii="Palatino Linotype" w:hAnsi="Palatino Linotype" w:cs="Arial"/>
          <w:bCs/>
          <w:sz w:val="24"/>
          <w:szCs w:val="24"/>
        </w:rPr>
      </w:pPr>
    </w:p>
    <w:p w:rsidR="003E1591" w:rsidRDefault="003E1591" w:rsidP="003E1591">
      <w:pPr>
        <w:pStyle w:val="Prrafodelista"/>
        <w:spacing w:before="240" w:after="240" w:line="360" w:lineRule="auto"/>
        <w:ind w:left="851" w:right="567"/>
        <w:jc w:val="both"/>
        <w:rPr>
          <w:rFonts w:ascii="Palatino Linotype" w:hAnsi="Palatino Linotype"/>
          <w:sz w:val="24"/>
          <w:szCs w:val="24"/>
        </w:rPr>
      </w:pPr>
      <w:r>
        <w:rPr>
          <w:rFonts w:ascii="Palatino Linotype" w:hAnsi="Palatino Linotype"/>
          <w:i/>
          <w:sz w:val="24"/>
          <w:szCs w:val="24"/>
        </w:rPr>
        <w:t>“</w:t>
      </w:r>
      <w:r w:rsidRPr="003E1591">
        <w:rPr>
          <w:rFonts w:ascii="Palatino Linotype" w:hAnsi="Palatino Linotype"/>
          <w:i/>
          <w:sz w:val="24"/>
          <w:szCs w:val="24"/>
        </w:rPr>
        <w:t>El fin de un proyecto como éste</w:t>
      </w:r>
      <w:r>
        <w:rPr>
          <w:rFonts w:ascii="Palatino Linotype" w:hAnsi="Palatino Linotype"/>
          <w:i/>
          <w:sz w:val="24"/>
          <w:szCs w:val="24"/>
        </w:rPr>
        <w:t xml:space="preserve"> </w:t>
      </w:r>
      <w:r>
        <w:rPr>
          <w:rFonts w:ascii="Palatino Linotype" w:hAnsi="Palatino Linotype"/>
          <w:sz w:val="24"/>
          <w:szCs w:val="24"/>
        </w:rPr>
        <w:t>(proyecto de digitalización)</w:t>
      </w:r>
      <w:r w:rsidRPr="003E1591">
        <w:rPr>
          <w:rFonts w:ascii="Palatino Linotype" w:hAnsi="Palatino Linotype"/>
          <w:i/>
          <w:sz w:val="24"/>
          <w:szCs w:val="24"/>
        </w:rPr>
        <w:t xml:space="preserve"> es digitalizar una sola vez los documentos y utilizar el archivo obtenido para diversos propósitos; por ello se debe definir desde la planeación una digitalización estandarizada, clasificada y con óptima calidad, para garantizar que cada archivo se pueda utilizar para nuevos requerimientos, sin necesidad de volver a digitalizarlo.</w:t>
      </w:r>
      <w:r>
        <w:rPr>
          <w:rFonts w:ascii="Palatino Linotype" w:hAnsi="Palatino Linotype"/>
          <w:i/>
          <w:sz w:val="24"/>
          <w:szCs w:val="24"/>
        </w:rPr>
        <w:t>”</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3E1591"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lastRenderedPageBreak/>
        <w:t>De lo anterior se entiende que el digitalizar documentos no se debe entender como una actividad concebida únicamente para dar atención a una solicitud de información, sino como una oportunidad que tienen los Sujetos Obligados para asegurar en un medio digital su información física y poder hacer uso de la misma en oportunidades futuras.</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2937C6" w:rsidRDefault="002937C6"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En ese entendido</w:t>
      </w:r>
      <w:r w:rsidR="003E1591">
        <w:rPr>
          <w:rFonts w:ascii="Palatino Linotype" w:hAnsi="Palatino Linotype"/>
          <w:sz w:val="24"/>
          <w:szCs w:val="24"/>
        </w:rPr>
        <w:t>, como Comisionados de éste Órgano Gar</w:t>
      </w:r>
      <w:r>
        <w:rPr>
          <w:rFonts w:ascii="Palatino Linotype" w:hAnsi="Palatino Linotype"/>
          <w:sz w:val="24"/>
          <w:szCs w:val="24"/>
        </w:rPr>
        <w:t xml:space="preserve">ante, deberíamos ver a la fracción VI del numeral 73 del Código Financiero del Estado de México como un retroceso en la evolución de la transparencia y acceso a la información pública, ello en virtud de que el pretender cobrar a los particulares una cantidad monetaria por digitalizar documentos sólo generará como consecuencia que los Sujetos Obligados disminuyan sus proyectos de digitalización de documentos </w:t>
      </w:r>
      <w:r w:rsidR="001C66F8">
        <w:rPr>
          <w:rFonts w:ascii="Palatino Linotype" w:hAnsi="Palatino Linotype"/>
          <w:sz w:val="24"/>
          <w:szCs w:val="24"/>
        </w:rPr>
        <w:t>en aras de</w:t>
      </w:r>
      <w:r>
        <w:rPr>
          <w:rFonts w:ascii="Palatino Linotype" w:hAnsi="Palatino Linotype"/>
          <w:sz w:val="24"/>
          <w:szCs w:val="24"/>
        </w:rPr>
        <w:t xml:space="preserve"> esperar a que una solicitud de información solicite datos públicos contenidos en sus acervos físicos y sea hasta ese momento </w:t>
      </w:r>
      <w:r w:rsidR="001C66F8">
        <w:rPr>
          <w:rFonts w:ascii="Palatino Linotype" w:hAnsi="Palatino Linotype"/>
          <w:sz w:val="24"/>
          <w:szCs w:val="24"/>
        </w:rPr>
        <w:t>en que se digitalicen</w:t>
      </w:r>
      <w:r>
        <w:rPr>
          <w:rFonts w:ascii="Palatino Linotype" w:hAnsi="Palatino Linotype"/>
          <w:sz w:val="24"/>
          <w:szCs w:val="24"/>
        </w:rPr>
        <w:t xml:space="preserve"> </w:t>
      </w:r>
      <w:r w:rsidR="001C66F8">
        <w:rPr>
          <w:rFonts w:ascii="Palatino Linotype" w:hAnsi="Palatino Linotype"/>
          <w:sz w:val="24"/>
          <w:szCs w:val="24"/>
        </w:rPr>
        <w:t xml:space="preserve">previo pago de impuestos, los cuales resultan a todas luces </w:t>
      </w:r>
      <w:r>
        <w:rPr>
          <w:rFonts w:ascii="Palatino Linotype" w:hAnsi="Palatino Linotype"/>
          <w:sz w:val="24"/>
          <w:szCs w:val="24"/>
        </w:rPr>
        <w:t>contrarios a</w:t>
      </w:r>
      <w:r w:rsidR="001C66F8">
        <w:rPr>
          <w:rFonts w:ascii="Palatino Linotype" w:hAnsi="Palatino Linotype"/>
          <w:sz w:val="24"/>
          <w:szCs w:val="24"/>
        </w:rPr>
        <w:t xml:space="preserve"> los principios de </w:t>
      </w:r>
      <w:r w:rsidR="001C66F8">
        <w:rPr>
          <w:rFonts w:ascii="Palatino Linotype" w:hAnsi="Palatino Linotype"/>
          <w:b/>
          <w:sz w:val="24"/>
          <w:szCs w:val="24"/>
        </w:rPr>
        <w:t>máxima publicidad</w:t>
      </w:r>
      <w:r w:rsidR="001C66F8">
        <w:rPr>
          <w:rFonts w:ascii="Palatino Linotype" w:hAnsi="Palatino Linotype"/>
          <w:sz w:val="24"/>
          <w:szCs w:val="24"/>
        </w:rPr>
        <w:t xml:space="preserve"> y </w:t>
      </w:r>
      <w:r w:rsidR="001C66F8">
        <w:rPr>
          <w:rFonts w:ascii="Palatino Linotype" w:hAnsi="Palatino Linotype"/>
          <w:b/>
          <w:sz w:val="24"/>
          <w:szCs w:val="24"/>
        </w:rPr>
        <w:t>gratuidad.</w:t>
      </w:r>
    </w:p>
    <w:p w:rsidR="002937C6" w:rsidRPr="002937C6" w:rsidRDefault="002937C6" w:rsidP="002937C6">
      <w:pPr>
        <w:pStyle w:val="Prrafodelista"/>
        <w:spacing w:before="240" w:after="240" w:line="360" w:lineRule="auto"/>
        <w:ind w:left="360"/>
        <w:jc w:val="both"/>
        <w:rPr>
          <w:rFonts w:ascii="Palatino Linotype" w:hAnsi="Palatino Linotype" w:cs="Arial"/>
          <w:bCs/>
          <w:sz w:val="24"/>
          <w:szCs w:val="24"/>
        </w:rPr>
      </w:pPr>
    </w:p>
    <w:p w:rsidR="002937C6" w:rsidRDefault="001C66F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Robustece lo anterior </w:t>
      </w:r>
      <w:r w:rsidR="006B7892">
        <w:rPr>
          <w:rFonts w:ascii="Palatino Linotype" w:hAnsi="Palatino Linotype" w:cs="Arial"/>
          <w:bCs/>
          <w:sz w:val="24"/>
          <w:szCs w:val="24"/>
        </w:rPr>
        <w:t xml:space="preserve">las palabras del entonces Comisionado Presidente del Instituto de Transparencia y Acceso a la Información Pública del Estado de México y Municipios, Eugenio Monterrey </w:t>
      </w:r>
      <w:proofErr w:type="spellStart"/>
      <w:r w:rsidR="006B7892">
        <w:rPr>
          <w:rFonts w:ascii="Palatino Linotype" w:hAnsi="Palatino Linotype" w:cs="Arial"/>
          <w:bCs/>
          <w:sz w:val="24"/>
          <w:szCs w:val="24"/>
        </w:rPr>
        <w:t>Chepov</w:t>
      </w:r>
      <w:proofErr w:type="spellEnd"/>
      <w:r w:rsidR="006B7892">
        <w:rPr>
          <w:rFonts w:ascii="Palatino Linotype" w:hAnsi="Palatino Linotype" w:cs="Arial"/>
          <w:bCs/>
          <w:sz w:val="24"/>
          <w:szCs w:val="24"/>
        </w:rPr>
        <w:t>, dentro del oficio número BOLETÍN/DCCS/030/2012, de veintiséis (26) de febrero de dos mil doce, dentro del cual, expresó lo siguiente:</w:t>
      </w:r>
    </w:p>
    <w:p w:rsidR="006B7892" w:rsidRDefault="006B7892" w:rsidP="006B7892">
      <w:pPr>
        <w:pStyle w:val="Prrafodelista"/>
        <w:spacing w:before="240" w:after="240" w:line="360" w:lineRule="auto"/>
        <w:ind w:left="851" w:right="567"/>
        <w:jc w:val="both"/>
        <w:rPr>
          <w:rFonts w:ascii="Palatino Linotype" w:hAnsi="Palatino Linotype" w:cs="Arial"/>
          <w:bCs/>
          <w:sz w:val="24"/>
          <w:szCs w:val="24"/>
        </w:rPr>
      </w:pPr>
      <w:r w:rsidRPr="006B7892">
        <w:rPr>
          <w:rFonts w:ascii="Palatino Linotype" w:hAnsi="Palatino Linotype" w:cs="Arial"/>
          <w:bCs/>
          <w:i/>
          <w:sz w:val="24"/>
          <w:szCs w:val="24"/>
        </w:rPr>
        <w:lastRenderedPageBreak/>
        <w:t xml:space="preserve">“Es preciso enfatizar que el acceso a la información no tiene costo alguno, pues se trata de un derecho regido por la gratuidad, dada su importancia para los regímenes democráticos. El Código Financiero fija tarifas según la modalidad de entrega de los documentos generados o custodiados por las instituciones, lo cual indica que </w:t>
      </w:r>
      <w:r w:rsidRPr="006B7892">
        <w:rPr>
          <w:rFonts w:ascii="Palatino Linotype" w:hAnsi="Palatino Linotype" w:cs="Arial"/>
          <w:b/>
          <w:bCs/>
          <w:i/>
          <w:sz w:val="24"/>
          <w:szCs w:val="24"/>
        </w:rPr>
        <w:t>no se cobra por la información, sino por el soporte que la contiene</w:t>
      </w:r>
      <w:r w:rsidRPr="006B7892">
        <w:rPr>
          <w:rFonts w:ascii="Palatino Linotype" w:hAnsi="Palatino Linotype" w:cs="Arial"/>
          <w:bCs/>
          <w:i/>
          <w:sz w:val="24"/>
          <w:szCs w:val="24"/>
        </w:rPr>
        <w:t>”</w:t>
      </w:r>
      <w:r>
        <w:rPr>
          <w:rFonts w:ascii="Palatino Linotype" w:hAnsi="Palatino Linotype" w:cs="Arial"/>
          <w:bCs/>
          <w:sz w:val="24"/>
          <w:szCs w:val="24"/>
        </w:rPr>
        <w:t xml:space="preserve"> (Sic).</w:t>
      </w:r>
    </w:p>
    <w:p w:rsidR="00B62D68" w:rsidRPr="006B7892" w:rsidRDefault="00B62D68" w:rsidP="006B7892">
      <w:pPr>
        <w:pStyle w:val="Prrafodelista"/>
        <w:spacing w:before="240" w:after="240" w:line="360" w:lineRule="auto"/>
        <w:ind w:left="851" w:right="567"/>
        <w:jc w:val="both"/>
        <w:rPr>
          <w:rFonts w:ascii="Palatino Linotype" w:hAnsi="Palatino Linotype" w:cs="Arial"/>
          <w:bCs/>
          <w:sz w:val="24"/>
          <w:szCs w:val="24"/>
        </w:rPr>
      </w:pPr>
      <w:r>
        <w:rPr>
          <w:rFonts w:ascii="Palatino Linotype" w:hAnsi="Palatino Linotype" w:cs="Arial"/>
          <w:bCs/>
          <w:sz w:val="24"/>
          <w:szCs w:val="24"/>
        </w:rPr>
        <w:t>(Énfasis añadido)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Así las cosas, debo recalcar que mi Ponencia no busca procurar la gratuidad del acceso a la información como justificante para que los particulares hagan uso indiferente del material administrativo de los Sujetos Obligados, entendiéndose con esto papel, sellos, discos compactos, etcétera. Sino que, la entrega de la información a través del Sistema de Acceso a la Información, debe entenderse siempre como un medio gratuito por medio del cual la ciudadanía pueda acceder a la información de las autoridades administrativas al ser </w:t>
      </w:r>
      <w:r w:rsidR="00926F65">
        <w:rPr>
          <w:rFonts w:ascii="Palatino Linotype" w:hAnsi="Palatino Linotype" w:cs="Arial"/>
          <w:bCs/>
          <w:sz w:val="24"/>
          <w:szCs w:val="24"/>
        </w:rPr>
        <w:t>el</w:t>
      </w:r>
      <w:r>
        <w:rPr>
          <w:rFonts w:ascii="Palatino Linotype" w:hAnsi="Palatino Linotype" w:cs="Arial"/>
          <w:bCs/>
          <w:sz w:val="24"/>
          <w:szCs w:val="24"/>
        </w:rPr>
        <w:t xml:space="preserve"> medio </w:t>
      </w:r>
      <w:r w:rsidR="00926F65">
        <w:rPr>
          <w:rFonts w:ascii="Palatino Linotype" w:hAnsi="Palatino Linotype" w:cs="Arial"/>
          <w:bCs/>
          <w:sz w:val="24"/>
          <w:szCs w:val="24"/>
        </w:rPr>
        <w:t>idóneo</w:t>
      </w:r>
      <w:r>
        <w:rPr>
          <w:rFonts w:ascii="Palatino Linotype" w:hAnsi="Palatino Linotype" w:cs="Arial"/>
          <w:bCs/>
          <w:sz w:val="24"/>
          <w:szCs w:val="24"/>
        </w:rPr>
        <w:t xml:space="preserve"> por el cual no se eroga ningún gasto más que el uso de </w:t>
      </w:r>
      <w:r w:rsidR="00926F65">
        <w:rPr>
          <w:rFonts w:ascii="Palatino Linotype" w:hAnsi="Palatino Linotype" w:cs="Arial"/>
          <w:bCs/>
          <w:sz w:val="24"/>
          <w:szCs w:val="24"/>
        </w:rPr>
        <w:t xml:space="preserve">electricidad </w:t>
      </w:r>
      <w:r>
        <w:rPr>
          <w:rFonts w:ascii="Palatino Linotype" w:hAnsi="Palatino Linotype" w:cs="Arial"/>
          <w:bCs/>
          <w:sz w:val="24"/>
          <w:szCs w:val="24"/>
        </w:rPr>
        <w:t>por parte de los Sujetos Obligados.</w:t>
      </w:r>
    </w:p>
    <w:p w:rsidR="002770E2" w:rsidRPr="00B62D68" w:rsidRDefault="002770E2" w:rsidP="00B62D68">
      <w:pPr>
        <w:spacing w:before="240" w:after="240" w:line="360" w:lineRule="auto"/>
        <w:jc w:val="both"/>
        <w:rPr>
          <w:rFonts w:ascii="Palatino Linotype" w:hAnsi="Palatino Linotype" w:cs="Arial"/>
          <w:bCs/>
          <w:sz w:val="24"/>
          <w:szCs w:val="24"/>
        </w:rPr>
      </w:pPr>
    </w:p>
    <w:p w:rsidR="002770E2"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Luego entonces</w:t>
      </w:r>
      <w:r w:rsidR="002770E2">
        <w:rPr>
          <w:rFonts w:ascii="Palatino Linotype" w:hAnsi="Palatino Linotype" w:cs="Arial"/>
          <w:bCs/>
          <w:sz w:val="24"/>
          <w:szCs w:val="24"/>
        </w:rPr>
        <w:t xml:space="preserve">, es de señalar que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es un Organismo Públic</w:t>
      </w:r>
      <w:r w:rsidR="0037144D">
        <w:rPr>
          <w:rFonts w:ascii="Palatino Linotype" w:hAnsi="Palatino Linotype" w:cs="Arial"/>
          <w:bCs/>
          <w:sz w:val="24"/>
          <w:szCs w:val="24"/>
        </w:rPr>
        <w:t>o</w:t>
      </w:r>
      <w:r w:rsidR="002770E2">
        <w:rPr>
          <w:rFonts w:ascii="Palatino Linotype" w:hAnsi="Palatino Linotype" w:cs="Arial"/>
          <w:bCs/>
          <w:sz w:val="24"/>
          <w:szCs w:val="24"/>
        </w:rPr>
        <w:t xml:space="preserve"> Descentralizado</w:t>
      </w:r>
      <w:r w:rsidR="0037144D">
        <w:rPr>
          <w:rFonts w:ascii="Palatino Linotype" w:hAnsi="Palatino Linotype" w:cs="Arial"/>
          <w:bCs/>
          <w:sz w:val="24"/>
          <w:szCs w:val="24"/>
        </w:rPr>
        <w:t xml:space="preserve"> de carácter Estatal</w:t>
      </w:r>
      <w:r w:rsidR="002770E2">
        <w:rPr>
          <w:rFonts w:ascii="Palatino Linotype" w:hAnsi="Palatino Linotype" w:cs="Arial"/>
          <w:bCs/>
          <w:sz w:val="24"/>
          <w:szCs w:val="24"/>
        </w:rPr>
        <w:t xml:space="preserve">, al que se le asigna un presupuesto destinado a satisfacer las necesidades de los mexiquenses, </w:t>
      </w:r>
      <w:r w:rsidR="002770E2">
        <w:rPr>
          <w:rFonts w:ascii="Palatino Linotype" w:hAnsi="Palatino Linotype" w:cs="Arial"/>
          <w:bCs/>
          <w:sz w:val="24"/>
          <w:szCs w:val="24"/>
        </w:rPr>
        <w:lastRenderedPageBreak/>
        <w:t>mediante la planeación y programación coordinada con las dependencias gubernamentales, fede</w:t>
      </w:r>
      <w:r w:rsidR="00C878B6">
        <w:rPr>
          <w:rFonts w:ascii="Palatino Linotype" w:hAnsi="Palatino Linotype" w:cs="Arial"/>
          <w:bCs/>
          <w:sz w:val="24"/>
          <w:szCs w:val="24"/>
        </w:rPr>
        <w:t>rales, estatales y municipales; y que bajo ésas consideraciones, no debería tener impedimento tecnológico o administrativo para otorgar la información digitalizada.</w:t>
      </w:r>
    </w:p>
    <w:p w:rsidR="00E43E11" w:rsidRDefault="00E43E11" w:rsidP="00E43E11">
      <w:pPr>
        <w:pStyle w:val="Ttulo1"/>
        <w:rPr>
          <w:rFonts w:cs="Arial"/>
          <w:bCs/>
          <w:i/>
          <w:color w:val="auto"/>
          <w:szCs w:val="24"/>
        </w:rPr>
      </w:pPr>
      <w:bookmarkStart w:id="5" w:name="_Toc516449145"/>
      <w:r w:rsidRPr="00E43E11">
        <w:rPr>
          <w:rFonts w:cs="Arial"/>
          <w:bCs/>
          <w:color w:val="auto"/>
          <w:szCs w:val="24"/>
        </w:rPr>
        <w:t xml:space="preserve">V. Del principio </w:t>
      </w:r>
      <w:proofErr w:type="spellStart"/>
      <w:r w:rsidRPr="00E43E11">
        <w:rPr>
          <w:rFonts w:cs="Arial"/>
          <w:bCs/>
          <w:i/>
          <w:color w:val="auto"/>
          <w:szCs w:val="24"/>
        </w:rPr>
        <w:t>pro</w:t>
      </w:r>
      <w:proofErr w:type="spellEnd"/>
      <w:r w:rsidRPr="00E43E11">
        <w:rPr>
          <w:rFonts w:cs="Arial"/>
          <w:bCs/>
          <w:i/>
          <w:color w:val="auto"/>
          <w:szCs w:val="24"/>
        </w:rPr>
        <w:t xml:space="preserve"> persona</w:t>
      </w:r>
      <w:r w:rsidR="00DE60FA">
        <w:rPr>
          <w:rFonts w:cs="Arial"/>
          <w:bCs/>
          <w:i/>
          <w:color w:val="auto"/>
          <w:szCs w:val="24"/>
        </w:rPr>
        <w:t>.</w:t>
      </w:r>
      <w:bookmarkEnd w:id="5"/>
    </w:p>
    <w:p w:rsidR="00F42B04" w:rsidRPr="00F42B04" w:rsidRDefault="00F42B04" w:rsidP="00F42B04"/>
    <w:p w:rsidR="007317E8" w:rsidRPr="007317E8" w:rsidRDefault="007317E8" w:rsidP="007317E8">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Una vez precisado lo anterior, </w:t>
      </w:r>
      <w:r w:rsidRPr="007317E8">
        <w:rPr>
          <w:rFonts w:ascii="Palatino Linotype" w:hAnsi="Palatino Linotype" w:cs="Arial"/>
          <w:bCs/>
          <w:sz w:val="24"/>
          <w:szCs w:val="24"/>
        </w:rPr>
        <w:t>hay que precisar que de conformidad con el texto vigente del artículo 1º, párrafos primero, segundo y tercero, de la Constitución Política de los Estados Unidos Mexicanos, existen dos fuentes originarias de los derechos humanos:</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reconocidos expresamente en la Constitución.</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establecidos en los tratados internacionales firmados y ratificados por México.</w:t>
      </w:r>
    </w:p>
    <w:p w:rsidR="007317E8" w:rsidRDefault="007317E8" w:rsidP="007317E8">
      <w:pPr>
        <w:pStyle w:val="Sinespaciado"/>
        <w:ind w:left="851" w:right="567"/>
        <w:jc w:val="both"/>
        <w:rPr>
          <w:rFonts w:ascii="Palatino Linotype" w:hAnsi="Palatino Linotype"/>
          <w:i/>
        </w:rPr>
      </w:pPr>
      <w:r>
        <w:rPr>
          <w:rFonts w:ascii="Palatino Linotype" w:hAnsi="Palatino Linotype"/>
          <w:b/>
          <w:i/>
        </w:rPr>
        <w:t>“</w:t>
      </w:r>
      <w:r w:rsidRPr="007317E8">
        <w:rPr>
          <w:rFonts w:ascii="Palatino Linotype" w:hAnsi="Palatino Linotype"/>
          <w:b/>
          <w:i/>
        </w:rPr>
        <w:t>Artículo 1o.</w:t>
      </w:r>
      <w:r w:rsidRPr="007317E8">
        <w:rPr>
          <w:rFonts w:ascii="Palatino Linotype" w:hAnsi="Palatino Linotype"/>
          <w:i/>
        </w:rPr>
        <w:t xml:space="preserve"> En los Estados Unidos Mexicanos </w:t>
      </w:r>
      <w:r w:rsidRPr="007317E8">
        <w:rPr>
          <w:rFonts w:ascii="Palatino Linotype" w:hAnsi="Palatino Linotype"/>
          <w:i/>
          <w:u w:val="single"/>
        </w:rPr>
        <w:t>todas las personas gozarán de los derechos humanos reconocidos en esta Constitución y en los tratados internacionales de los que el Estado Mexicano sea parte</w:t>
      </w:r>
      <w:r w:rsidRPr="007317E8">
        <w:rPr>
          <w:rFonts w:ascii="Palatino Linotype" w:hAnsi="Palatino Linotype"/>
          <w:i/>
        </w:rPr>
        <w:t>, así como de las garantías para su protección, cuyo ejercicio no podrá restringirse ni suspenderse, salvo en los casos y bajo las condiciones que esta Constitución establece.</w:t>
      </w:r>
    </w:p>
    <w:p w:rsidR="007317E8" w:rsidRPr="007317E8" w:rsidRDefault="007317E8" w:rsidP="007317E8">
      <w:pPr>
        <w:pStyle w:val="Sinespaciado"/>
        <w:ind w:left="851" w:right="567"/>
        <w:jc w:val="both"/>
        <w:rPr>
          <w:rFonts w:ascii="Palatino Linotype" w:hAnsi="Palatino Linotype"/>
          <w:i/>
        </w:rPr>
      </w:pPr>
    </w:p>
    <w:p w:rsidR="007317E8" w:rsidRPr="007317E8" w:rsidRDefault="007317E8" w:rsidP="007317E8">
      <w:pPr>
        <w:pStyle w:val="Sinespaciado"/>
        <w:ind w:left="851" w:right="567"/>
        <w:jc w:val="both"/>
        <w:rPr>
          <w:rFonts w:ascii="Palatino Linotype" w:hAnsi="Palatino Linotype"/>
          <w:b/>
          <w:i/>
        </w:rPr>
      </w:pPr>
      <w:r w:rsidRPr="007317E8">
        <w:rPr>
          <w:rFonts w:ascii="Palatino Linotype" w:hAnsi="Palatino Linotype"/>
          <w:b/>
          <w:i/>
        </w:rPr>
        <w:t>Las normas relativas a los derechos humanos se interpretarán de conformidad con esta Constitución y con los tratados internacionales de la materia favoreciendo en todo tiempo a las personas la protección más amplia.</w:t>
      </w:r>
    </w:p>
    <w:p w:rsidR="007317E8" w:rsidRPr="007317E8" w:rsidRDefault="007317E8" w:rsidP="007317E8">
      <w:pPr>
        <w:pStyle w:val="Sinespaciado"/>
        <w:ind w:left="851" w:right="567"/>
        <w:jc w:val="both"/>
        <w:rPr>
          <w:rFonts w:ascii="Palatino Linotype" w:hAnsi="Palatino Linotype"/>
          <w:i/>
        </w:rPr>
      </w:pPr>
    </w:p>
    <w:p w:rsidR="007317E8" w:rsidRPr="007317E8" w:rsidRDefault="007317E8" w:rsidP="007317E8">
      <w:pPr>
        <w:pStyle w:val="Sinespaciado"/>
        <w:ind w:left="851" w:right="567"/>
        <w:jc w:val="both"/>
        <w:rPr>
          <w:rFonts w:ascii="Palatino Linotype" w:hAnsi="Palatino Linotype"/>
          <w:i/>
        </w:rPr>
      </w:pPr>
      <w:r w:rsidRPr="007317E8">
        <w:rPr>
          <w:rFonts w:ascii="Palatino Linotype" w:hAnsi="Palatino Linotype"/>
          <w:i/>
          <w:u w:val="single"/>
        </w:rPr>
        <w:t xml:space="preserve">Todas las autoridades, en el ámbito de sus competencias, tienen la obligación de promover, respetar, proteger y garantizar los derechos humanos de conformidad con </w:t>
      </w:r>
      <w:r w:rsidRPr="007317E8">
        <w:rPr>
          <w:rFonts w:ascii="Palatino Linotype" w:hAnsi="Palatino Linotype"/>
          <w:i/>
          <w:u w:val="single"/>
        </w:rPr>
        <w:lastRenderedPageBreak/>
        <w:t>los principios de universalidad, interdependencia, indivisibilidad y progresividad.</w:t>
      </w:r>
      <w:r w:rsidRPr="007317E8">
        <w:rPr>
          <w:rFonts w:ascii="Palatino Linotype" w:hAnsi="Palatino Linotype"/>
          <w:i/>
        </w:rPr>
        <w:t xml:space="preserve"> En consecuencia, el Estado deberá prevenir, investigar, sancionar y reparar las violaciones a los derechos humanos, en los términos que establezca la ley. </w:t>
      </w:r>
    </w:p>
    <w:p w:rsidR="00E43E11" w:rsidRPr="007317E8" w:rsidRDefault="007317E8" w:rsidP="007317E8">
      <w:pPr>
        <w:pStyle w:val="Sinespaciado"/>
        <w:ind w:left="851" w:right="567"/>
        <w:jc w:val="both"/>
        <w:rPr>
          <w:rFonts w:ascii="Palatino Linotype" w:hAnsi="Palatino Linotype"/>
          <w:i/>
        </w:rPr>
      </w:pPr>
      <w:r>
        <w:rPr>
          <w:rFonts w:ascii="Palatino Linotype" w:hAnsi="Palatino Linotype"/>
          <w:i/>
        </w:rPr>
        <w:t>(</w:t>
      </w:r>
      <w:r w:rsidRPr="007317E8">
        <w:rPr>
          <w:rFonts w:ascii="Palatino Linotype" w:hAnsi="Palatino Linotype"/>
          <w:i/>
        </w:rPr>
        <w:t>…</w:t>
      </w:r>
      <w:r>
        <w:rPr>
          <w:rFonts w:ascii="Palatino Linotype" w:hAnsi="Palatino Linotype"/>
          <w:i/>
        </w:rPr>
        <w:t>)”</w:t>
      </w:r>
    </w:p>
    <w:p w:rsidR="002770E2" w:rsidRPr="00B263E7" w:rsidRDefault="002770E2" w:rsidP="002770E2">
      <w:pPr>
        <w:pStyle w:val="Prrafodelista"/>
        <w:rPr>
          <w:rFonts w:ascii="Palatino Linotype" w:hAnsi="Palatino Linotype" w:cs="Arial"/>
          <w:bCs/>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La reforma al artículo 1° de la </w:t>
      </w:r>
      <w:r w:rsidRPr="00151D53">
        <w:rPr>
          <w:rFonts w:ascii="Palatino Linotype" w:hAnsi="Palatino Linotype" w:cs="Arial"/>
          <w:b/>
          <w:sz w:val="24"/>
        </w:rPr>
        <w:t>Constitución Política de los Estados Unidos Mexicanos</w:t>
      </w:r>
      <w:r w:rsidRPr="00151D53">
        <w:rPr>
          <w:rFonts w:ascii="Palatino Linotype" w:hAnsi="Palatino Linotype" w:cs="Arial"/>
          <w:sz w:val="24"/>
        </w:rPr>
        <w:t>, publicada en el Diario Oficial de la Federación el diez de junio de dos mil once, faculta a todas las autoridades en nuestro país, sin excepción, para proteger y garantizar los Derechos Humanos desde sus respectivos ámbitos competenciales.</w:t>
      </w:r>
    </w:p>
    <w:p w:rsidR="007317E8" w:rsidRPr="00151D53" w:rsidRDefault="007317E8" w:rsidP="007317E8">
      <w:pPr>
        <w:spacing w:after="0" w:line="360" w:lineRule="auto"/>
        <w:ind w:left="360"/>
        <w:contextualSpacing/>
        <w:jc w:val="both"/>
        <w:rPr>
          <w:rFonts w:ascii="Palatino Linotype" w:hAnsi="Palatino Linotype"/>
          <w:sz w:val="28"/>
          <w:szCs w:val="24"/>
        </w:rPr>
      </w:pPr>
    </w:p>
    <w:p w:rsidR="007317E8" w:rsidRPr="00151D53" w:rsidRDefault="007317E8" w:rsidP="007317E8">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Esta reforma,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rsidR="007317E8" w:rsidRPr="00151D53" w:rsidRDefault="007317E8" w:rsidP="007317E8">
      <w:pPr>
        <w:spacing w:after="0" w:line="360" w:lineRule="auto"/>
        <w:contextualSpacing/>
        <w:jc w:val="both"/>
        <w:rPr>
          <w:rFonts w:ascii="Palatino Linotype" w:hAnsi="Palatino Linotype"/>
          <w:sz w:val="28"/>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Sirve de criterio orientador la Tesis Aislada I.4o.A.20 K (10a.), publicada en la Gaceta del Semanario Judicial de la Federación Libro 1, diciembre de 2013, Tomo II, página: 1211, cuyo rubro, texto y datos de identificación son los siguientes:</w:t>
      </w:r>
    </w:p>
    <w:p w:rsidR="007317E8" w:rsidRDefault="007317E8" w:rsidP="007317E8">
      <w:pPr>
        <w:pStyle w:val="Sinespaciado"/>
        <w:ind w:left="851" w:right="567"/>
        <w:jc w:val="both"/>
        <w:rPr>
          <w:rFonts w:ascii="Palatino Linotype" w:hAnsi="Palatino Linotype"/>
          <w:i/>
        </w:rPr>
      </w:pPr>
      <w:r w:rsidRPr="007317E8">
        <w:rPr>
          <w:rFonts w:ascii="Palatino Linotype" w:hAnsi="Palatino Linotype"/>
          <w:b/>
          <w:i/>
        </w:rPr>
        <w:t>PRINCIPIO PRO HOMINE. VARIANTES QUE LO COMPONEN.</w:t>
      </w:r>
      <w:r w:rsidRPr="007317E8">
        <w:rPr>
          <w:rFonts w:ascii="Palatino Linotype" w:hAnsi="Palatino Linotype"/>
          <w:i/>
        </w:rPr>
        <w:t xml:space="preserve"> </w:t>
      </w:r>
      <w:r>
        <w:rPr>
          <w:rFonts w:ascii="Palatino Linotype" w:hAnsi="Palatino Linotype"/>
          <w:i/>
        </w:rPr>
        <w:t>“</w:t>
      </w:r>
      <w:r w:rsidRPr="007317E8">
        <w:rPr>
          <w:rFonts w:ascii="Palatino Linotype" w:hAnsi="Palatino Linotype"/>
          <w:i/>
        </w:rPr>
        <w:t xml:space="preserve">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7317E8">
        <w:rPr>
          <w:rFonts w:ascii="Palatino Linotype" w:hAnsi="Palatino Linotype"/>
          <w:i/>
        </w:rPr>
        <w:t>homine</w:t>
      </w:r>
      <w:proofErr w:type="spellEnd"/>
      <w:r w:rsidRPr="007317E8">
        <w:rPr>
          <w:rFonts w:ascii="Palatino Linotype" w:hAnsi="Palatino Linotype"/>
          <w:i/>
        </w:rPr>
        <w:t xml:space="preserve">", el cual consiste en ponderar el peso de los derechos humanos, a efecto de estar siempre a favor del hombre,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7317E8">
        <w:rPr>
          <w:rFonts w:ascii="Palatino Linotype" w:hAnsi="Palatino Linotype"/>
          <w:i/>
        </w:rPr>
        <w:t>homine</w:t>
      </w:r>
      <w:proofErr w:type="spellEnd"/>
      <w:r w:rsidRPr="007317E8">
        <w:rPr>
          <w:rFonts w:ascii="Palatino Linotype" w:hAnsi="Palatino Linotype"/>
          <w:i/>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7317E8">
        <w:rPr>
          <w:rFonts w:ascii="Palatino Linotype" w:hAnsi="Palatino Linotype"/>
          <w:i/>
        </w:rPr>
        <w:t>libertatis</w:t>
      </w:r>
      <w:proofErr w:type="spellEnd"/>
      <w:r w:rsidRPr="007317E8">
        <w:rPr>
          <w:rFonts w:ascii="Palatino Linotype" w:hAnsi="Palatino Linotype"/>
          <w:i/>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7317E8">
        <w:rPr>
          <w:rFonts w:ascii="Palatino Linotype" w:hAnsi="Palatino Linotype"/>
          <w:i/>
        </w:rPr>
        <w:t>debilis</w:t>
      </w:r>
      <w:proofErr w:type="spellEnd"/>
      <w:r w:rsidRPr="007317E8">
        <w:rPr>
          <w:rFonts w:ascii="Palatino Linotype" w:hAnsi="Palatino Linotype"/>
          <w:i/>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r>
        <w:rPr>
          <w:rFonts w:ascii="Palatino Linotype" w:hAnsi="Palatino Linotype"/>
          <w:i/>
        </w:rPr>
        <w:t>”</w:t>
      </w:r>
    </w:p>
    <w:p w:rsidR="007317E8" w:rsidRPr="007317E8" w:rsidRDefault="007317E8" w:rsidP="007317E8">
      <w:pPr>
        <w:pStyle w:val="Sinespaciado"/>
        <w:ind w:left="851" w:right="567"/>
        <w:jc w:val="both"/>
        <w:rPr>
          <w:rFonts w:ascii="Palatino Linotype" w:hAnsi="Palatino Linotype"/>
          <w:i/>
        </w:rPr>
      </w:pPr>
    </w:p>
    <w:p w:rsidR="007317E8" w:rsidRP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 xml:space="preserve">Entonces, se puede afirmar que el principio pro persona tiene dos variantes: </w:t>
      </w:r>
    </w:p>
    <w:p w:rsidR="007317E8" w:rsidRP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interpretativa.</w:t>
      </w:r>
      <w:r w:rsidRPr="007317E8">
        <w:rPr>
          <w:rFonts w:ascii="Palatino Linotype" w:hAnsi="Palatino Linotype"/>
          <w:sz w:val="24"/>
          <w:szCs w:val="24"/>
        </w:rPr>
        <w:t xml:space="preserve"> El intérprete debe preferir, de las interpretaciones válidas que estén disponibles para resolver un caso </w:t>
      </w:r>
      <w:r w:rsidRPr="007317E8">
        <w:rPr>
          <w:rFonts w:ascii="Palatino Linotype" w:hAnsi="Palatino Linotype"/>
          <w:sz w:val="24"/>
          <w:szCs w:val="24"/>
        </w:rPr>
        <w:lastRenderedPageBreak/>
        <w:t>concreto, la que más optimice un derecho fundamental, es decir, cuando amplía el ámbito de los sujetos protegidos por el Derecho.</w:t>
      </w:r>
    </w:p>
    <w:p w:rsid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de normas.</w:t>
      </w:r>
      <w:r w:rsidRPr="007317E8">
        <w:rPr>
          <w:rFonts w:ascii="Palatino Linotype" w:hAnsi="Palatino Linotype"/>
          <w:sz w:val="24"/>
          <w:szCs w:val="24"/>
        </w:rPr>
        <w:t xml:space="preserve"> El intérprete, si puede aplicar más de una norma al caso concreto, deberá preferir aquella que sea más favorable a la persona, con independencia del lugar que ocupe dentro de la jerarquía normativa.</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Así, el principio </w:t>
      </w:r>
      <w:proofErr w:type="spellStart"/>
      <w:r w:rsidR="00F42B04">
        <w:rPr>
          <w:rFonts w:ascii="Palatino Linotype" w:hAnsi="Palatino Linotype" w:cs="Arial"/>
          <w:i/>
          <w:sz w:val="24"/>
        </w:rPr>
        <w:t>pro</w:t>
      </w:r>
      <w:proofErr w:type="spellEnd"/>
      <w:r w:rsidR="00F42B04">
        <w:rPr>
          <w:rFonts w:ascii="Palatino Linotype" w:hAnsi="Palatino Linotype" w:cs="Arial"/>
          <w:i/>
          <w:sz w:val="24"/>
        </w:rPr>
        <w:t xml:space="preserve"> persona</w:t>
      </w:r>
      <w:r w:rsidRPr="00151D53">
        <w:rPr>
          <w:rFonts w:ascii="Palatino Linotype" w:hAnsi="Palatino Linotype" w:cs="Arial"/>
          <w:i/>
          <w:sz w:val="24"/>
        </w:rPr>
        <w:t>,</w:t>
      </w:r>
      <w:r w:rsidRPr="00151D53">
        <w:rPr>
          <w:rFonts w:ascii="Palatino Linotype" w:hAnsi="Palatino Linotype" w:cs="Arial"/>
          <w:sz w:val="24"/>
        </w:rPr>
        <w:t xml:space="preserve"> coincide con la esencia de los derechos humanos, por virtud del cual debe estarse siempre a lo más favorable para el hombre e implica que debe acudirse a la norma más amplia o a la interpretación extensiva cuando se trata de derechos protegidos y, por el contrario, a la norma o a la interpretación más restringida, cuando se trata de establecer límites a su ejercicio.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Lo anterior, coincide con los criterios jurisprudenciales dictados por los órganos que integran el Poder Judicial de la Federación en las tesis aisladas: I.4o.A.441 A y I.4o.A.464 A, publicadas en el Semanario Judicial de la Federación y su Gaceta, Tomo XX, Octubre de 2004 y Tomo XXI, Febrero de 2005 respectivamente:</w:t>
      </w:r>
    </w:p>
    <w:p w:rsidR="007317E8" w:rsidRPr="00151D53" w:rsidRDefault="007317E8" w:rsidP="00151D53">
      <w:pPr>
        <w:pStyle w:val="Sinespaciado"/>
        <w:ind w:left="851" w:right="567"/>
        <w:jc w:val="both"/>
        <w:rPr>
          <w:rFonts w:ascii="Palatino Linotype" w:hAnsi="Palatino Linotype"/>
          <w:i/>
        </w:rPr>
      </w:pPr>
      <w:r w:rsidRPr="00151D53">
        <w:rPr>
          <w:rFonts w:ascii="Palatino Linotype" w:hAnsi="Palatino Linotype"/>
          <w:b/>
          <w:i/>
        </w:rPr>
        <w:t>PRINCIPIO PRO HOMINE. SU APLICACIÓN</w:t>
      </w:r>
      <w:r w:rsidRPr="00151D53">
        <w:rPr>
          <w:rFonts w:ascii="Palatino Linotype" w:hAnsi="Palatino Linotype"/>
          <w:i/>
        </w:rPr>
        <w:t xml:space="preserve">. </w:t>
      </w:r>
      <w:r w:rsidR="00151D53">
        <w:rPr>
          <w:rFonts w:ascii="Palatino Linotype" w:hAnsi="Palatino Linotype"/>
          <w:i/>
        </w:rPr>
        <w:t>“</w:t>
      </w:r>
      <w:r w:rsidRPr="00151D53">
        <w:rPr>
          <w:rFonts w:ascii="Palatino Linotype" w:hAnsi="Palatino Linotype"/>
          <w:i/>
        </w:rPr>
        <w:t xml:space="preserve">El principio pro </w:t>
      </w:r>
      <w:proofErr w:type="spellStart"/>
      <w:r w:rsidRPr="00151D53">
        <w:rPr>
          <w:rFonts w:ascii="Palatino Linotype" w:hAnsi="Palatino Linotype"/>
          <w:i/>
        </w:rPr>
        <w:t>homine</w:t>
      </w:r>
      <w:proofErr w:type="spellEnd"/>
      <w:r w:rsidRPr="00151D53">
        <w:rPr>
          <w:rFonts w:ascii="Palatino Linotype" w:hAnsi="Palatino Linotype"/>
          <w:i/>
        </w:rPr>
        <w:t>, incorporado en múltiples tratados internacionales, es un criterio hermenéutico que coincide con el rasgo fundamental de los derechos humanos, por virtud del cual debe estarse siempre a favor del hombre e implica que debe acudirse a la norma más amplia o a la interpretación extensiva cuando se trata de derechos protegidos y, por el contrario, a la norma o a la interpretación más restringida, cuando se trata de establecer límites a su ejercicio.</w:t>
      </w:r>
      <w:r w:rsidR="00151D53">
        <w:rPr>
          <w:rFonts w:ascii="Palatino Linotype" w:hAnsi="Palatino Linotype"/>
          <w:i/>
        </w:rPr>
        <w:t>”</w:t>
      </w:r>
    </w:p>
    <w:p w:rsidR="00151D53" w:rsidRPr="00151D53" w:rsidRDefault="00151D53" w:rsidP="00151D53">
      <w:pPr>
        <w:pStyle w:val="Sinespaciado"/>
        <w:ind w:left="851" w:right="567"/>
        <w:jc w:val="both"/>
        <w:rPr>
          <w:rFonts w:ascii="Palatino Linotype" w:hAnsi="Palatino Linotype"/>
          <w:i/>
        </w:rPr>
      </w:pPr>
    </w:p>
    <w:p w:rsidR="007317E8" w:rsidRPr="007317E8" w:rsidRDefault="007317E8" w:rsidP="00151D53">
      <w:pPr>
        <w:pStyle w:val="Sinespaciado"/>
        <w:ind w:left="851" w:right="567"/>
        <w:jc w:val="both"/>
      </w:pPr>
      <w:r w:rsidRPr="00151D53">
        <w:rPr>
          <w:rFonts w:ascii="Palatino Linotype" w:hAnsi="Palatino Linotype"/>
          <w:b/>
          <w:i/>
        </w:rPr>
        <w:lastRenderedPageBreak/>
        <w:t>PRINCIPIO PRO HOMINE. SU APLICACIÓN ES OBLIGATORIA.</w:t>
      </w:r>
      <w:r w:rsidRPr="00151D53">
        <w:rPr>
          <w:rFonts w:ascii="Palatino Linotype" w:hAnsi="Palatino Linotype"/>
          <w:i/>
        </w:rPr>
        <w:t xml:space="preserve"> </w:t>
      </w:r>
      <w:r w:rsidR="00151D53">
        <w:rPr>
          <w:rFonts w:ascii="Palatino Linotype" w:hAnsi="Palatino Linotype"/>
          <w:i/>
        </w:rPr>
        <w:t>“</w:t>
      </w:r>
      <w:r w:rsidRPr="00151D53">
        <w:rPr>
          <w:rFonts w:ascii="Palatino Linotype" w:hAnsi="Palatino Linotype"/>
          <w:i/>
        </w:rPr>
        <w:t xml:space="preserve">El principio pro </w:t>
      </w:r>
      <w:proofErr w:type="spellStart"/>
      <w:r w:rsidRPr="00151D53">
        <w:rPr>
          <w:rFonts w:ascii="Palatino Linotype" w:hAnsi="Palatino Linotype"/>
          <w:i/>
        </w:rPr>
        <w:t>homine</w:t>
      </w:r>
      <w:proofErr w:type="spellEnd"/>
      <w:r w:rsidRPr="00151D53">
        <w:rPr>
          <w:rFonts w:ascii="Palatino Linotype" w:hAnsi="Palatino Linotype"/>
          <w:i/>
        </w:rPr>
        <w:t xml:space="preserve"> que implica que la interpretación jurídica siempre debe buscar el mayor beneficio para el hombre, es decir, que debe acudirse a la norma más amplia o a la interpretación extensiva cuando se trata de derechos protegidos y, por el contrario, a la norma o a la interpretación más restringida, cuando se trata de establecer límites a su ejercicio, se contempla en los artículos 29 de la Convención Americana sobre Derechos Humanos y 5 del Pacto Internacional de Derechos Civiles y Políticos, publicados en el Diario Oficial de la Federación el siete y el veinte de mayo de mil novecientos ochenta y uno, respectivamente. Ahora bien, como dichos tratados forman parte de la Ley Suprema de la Unión, conforme al artículo 133 constitucional, es claro que el citado principio debe aplicarse en forma obligatoria.</w:t>
      </w:r>
      <w:r w:rsidR="00151D53">
        <w:rPr>
          <w:rFonts w:ascii="Palatino Linotype" w:hAnsi="Palatino Linotype"/>
          <w:i/>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De lo expuesto se colige que cualquier órgano judicial, jurisdiccional o administrativo del Estado mexicano con facultades decisorias o de </w:t>
      </w:r>
      <w:proofErr w:type="spellStart"/>
      <w:r w:rsidRPr="00151D53">
        <w:rPr>
          <w:rFonts w:ascii="Palatino Linotype" w:hAnsi="Palatino Linotype"/>
          <w:i/>
          <w:sz w:val="24"/>
          <w:szCs w:val="24"/>
        </w:rPr>
        <w:t>imperium</w:t>
      </w:r>
      <w:proofErr w:type="spellEnd"/>
      <w:r w:rsidRPr="00151D53">
        <w:rPr>
          <w:rFonts w:ascii="Palatino Linotype" w:hAnsi="Palatino Linotype"/>
          <w:sz w:val="24"/>
          <w:szCs w:val="24"/>
        </w:rPr>
        <w:t xml:space="preserve"> debe respetar el principio pro persona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Ahora, 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w:t>
      </w:r>
      <w:r w:rsidRPr="00151D53">
        <w:rPr>
          <w:rFonts w:ascii="Palatino Linotype" w:hAnsi="Palatino Linotype"/>
          <w:sz w:val="24"/>
          <w:szCs w:val="24"/>
        </w:rPr>
        <w:lastRenderedPageBreak/>
        <w:t>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r>
        <w:rPr>
          <w:rFonts w:ascii="Palatino Linotype" w:hAnsi="Palatino Linotype"/>
          <w:sz w:val="24"/>
          <w:szCs w:val="24"/>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Por tanto, de acuerdo con lo expuesto, este Órgano Garante con funciones jurisdiccionales, al momento de resolver un recurso de revisión vinculado con el derecho fundamental de acceso a la información pública se encuentra constitucional y convencionalmente facultado para ejercer el control difuso de la constitucionalidad o convencionalidad, según proceda</w:t>
      </w:r>
      <w:r>
        <w:rPr>
          <w:rFonts w:ascii="Palatino Linotype" w:hAnsi="Palatino Linotype"/>
          <w:sz w:val="24"/>
          <w:szCs w:val="24"/>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Lo anterior implica que el Pleno como cuerpo </w:t>
      </w:r>
      <w:proofErr w:type="spellStart"/>
      <w:r w:rsidRPr="00151D53">
        <w:rPr>
          <w:rFonts w:ascii="Palatino Linotype" w:hAnsi="Palatino Linotype"/>
          <w:sz w:val="24"/>
          <w:szCs w:val="24"/>
        </w:rPr>
        <w:t>resolutor</w:t>
      </w:r>
      <w:proofErr w:type="spellEnd"/>
      <w:r w:rsidRPr="00151D53">
        <w:rPr>
          <w:rFonts w:ascii="Palatino Linotype" w:hAnsi="Palatino Linotype"/>
          <w:sz w:val="24"/>
          <w:szCs w:val="24"/>
        </w:rPr>
        <w:t xml:space="preserve"> debe acatar y aplicar en su ámbito competencial, la constitución y los tratados internacionales vinculados con los derechos humanos que tiene la obligación de salvaguardar y restituir.</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Sirve de sustento a lo anterior, el criterio jurisprudencial P. LXVII/2011(9a.), publicado en el Semanario Judicial de la Federación y su Gaceta, Libro III, diciembre de 2011, Tomo 1, que a la letra refiere lo siguiente:</w:t>
      </w:r>
    </w:p>
    <w:p w:rsidR="007317E8" w:rsidRPr="00151D53" w:rsidRDefault="00151D53" w:rsidP="00151D53">
      <w:pPr>
        <w:pStyle w:val="Sinespaciado"/>
        <w:ind w:left="851" w:right="567"/>
        <w:jc w:val="both"/>
        <w:rPr>
          <w:rFonts w:ascii="Palatino Linotype" w:hAnsi="Palatino Linotype"/>
          <w:i/>
        </w:rPr>
      </w:pPr>
      <w:r w:rsidRPr="00151D53">
        <w:rPr>
          <w:rFonts w:ascii="Palatino Linotype" w:hAnsi="Palatino Linotype"/>
          <w:b/>
          <w:i/>
        </w:rPr>
        <w:t>CONTROL DE CONVENCIONALIDAD EX OFFICIO EN UN MODELO DE CONTROL DIFUSO DE CONSTITUCIONALIDAD.</w:t>
      </w:r>
      <w:r w:rsidRPr="00151D53">
        <w:rPr>
          <w:rFonts w:ascii="Palatino Linotype" w:hAnsi="Palatino Linotype"/>
          <w:i/>
        </w:rPr>
        <w:t xml:space="preserve"> </w:t>
      </w:r>
      <w:r>
        <w:rPr>
          <w:rFonts w:ascii="Palatino Linotype" w:hAnsi="Palatino Linotype"/>
          <w:i/>
        </w:rPr>
        <w:t>“</w:t>
      </w:r>
      <w:r w:rsidRPr="00151D53">
        <w:rPr>
          <w:rFonts w:ascii="Palatino Linotype" w:hAnsi="Palatino Linotype"/>
          <w:i/>
        </w:rPr>
        <w:t xml:space="preserve">De conformidad con lo previsto en el artículo 1o. de la Constitución Política de los Estados Unidos Mexicanos, </w:t>
      </w:r>
      <w:r w:rsidRPr="00151D53">
        <w:rPr>
          <w:rFonts w:ascii="Palatino Linotype" w:hAnsi="Palatino Linotype"/>
          <w:i/>
          <w:u w:val="single"/>
        </w:rPr>
        <w:t xml:space="preserve">todas las autoridades del país, dentro del ámbito de sus competencias, se encuentran obligadas a velar no sólo por los derechos humanos contenidos en la </w:t>
      </w:r>
      <w:r w:rsidRPr="00151D53">
        <w:rPr>
          <w:rFonts w:ascii="Palatino Linotype" w:hAnsi="Palatino Linotype"/>
          <w:i/>
          <w:u w:val="single"/>
        </w:rPr>
        <w:lastRenderedPageBreak/>
        <w:t xml:space="preserve">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Pr="00151D53">
        <w:rPr>
          <w:rFonts w:ascii="Palatino Linotype" w:hAnsi="Palatino Linotype"/>
          <w:i/>
          <w:u w:val="single"/>
        </w:rPr>
        <w:t>pro</w:t>
      </w:r>
      <w:proofErr w:type="spellEnd"/>
      <w:r w:rsidRPr="00151D53">
        <w:rPr>
          <w:rFonts w:ascii="Palatino Linotype" w:hAnsi="Palatino Linotype"/>
          <w:i/>
          <w:u w:val="single"/>
        </w:rPr>
        <w:t xml:space="preserve"> persona.</w:t>
      </w:r>
      <w:r w:rsidRPr="00151D53">
        <w:rPr>
          <w:rFonts w:ascii="Palatino Linotype" w:hAnsi="Palatino Linotype"/>
          <w:i/>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w:t>
      </w:r>
      <w:proofErr w:type="spellStart"/>
      <w:r w:rsidRPr="00151D53">
        <w:rPr>
          <w:rFonts w:ascii="Palatino Linotype" w:hAnsi="Palatino Linotype"/>
          <w:i/>
        </w:rPr>
        <w:t>officio</w:t>
      </w:r>
      <w:proofErr w:type="spellEnd"/>
      <w:r w:rsidRPr="00151D53">
        <w:rPr>
          <w:rFonts w:ascii="Palatino Linotype" w:hAnsi="Palatino Linotype"/>
          <w:i/>
        </w:rPr>
        <w:t xml:space="preserve"> en materia de derechos humanos a cargo del Poder Judicial, el que deberá adecuarse al modelo de control de constitucionalidad existente en nuestro país. </w:t>
      </w:r>
      <w:r w:rsidRPr="00151D53">
        <w:rPr>
          <w:rFonts w:ascii="Palatino Linotype" w:hAnsi="Palatino Linotype"/>
          <w:i/>
          <w:u w:val="single"/>
        </w:rPr>
        <w:t xml:space="preserve">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 </w:t>
      </w:r>
      <w:r w:rsidRPr="00151D53">
        <w:rPr>
          <w:rFonts w:ascii="Palatino Linotype" w:hAnsi="Palatino Linotype"/>
          <w:i/>
        </w:rPr>
        <w:t xml:space="preserve">Si bien los jueces </w:t>
      </w:r>
      <w:r w:rsidRPr="00151D53">
        <w:rPr>
          <w:rFonts w:ascii="Palatino Linotype" w:hAnsi="Palatino Linotype"/>
          <w:i/>
          <w:u w:val="single"/>
        </w:rPr>
        <w:t>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r>
        <w:rPr>
          <w:rFonts w:ascii="Palatino Linotype" w:hAnsi="Palatino Linotype"/>
          <w:i/>
        </w:rPr>
        <w:t>”</w:t>
      </w:r>
    </w:p>
    <w:p w:rsidR="00151D53" w:rsidRPr="007317E8" w:rsidRDefault="00151D53"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Precisado 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entes públicos.</w:t>
      </w:r>
    </w:p>
    <w:p w:rsidR="00151D53" w:rsidRPr="00151D53"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En el plano internacional, particularmente en el tema en análisis, existen tres tratados internacionales suscritos y ratificados por México en el que se reconoce </w:t>
      </w:r>
      <w:r w:rsidRPr="00151D53">
        <w:rPr>
          <w:rFonts w:ascii="Palatino Linotype" w:hAnsi="Palatino Linotype"/>
          <w:sz w:val="24"/>
          <w:szCs w:val="24"/>
        </w:rPr>
        <w:lastRenderedPageBreak/>
        <w:t>el derecho a buscar, recibir y difundir información. A estos tratados nos referiremos en los siguientes párrafos, sin embargo, para sustentar su aplicabilidad en el sistema jurídico mexicano se detallan por su denominación, fecha de aprobación, ratificación y publicación en el Diario Oficial de la Federación:</w:t>
      </w:r>
    </w:p>
    <w:p w:rsidR="00151D53" w:rsidRDefault="00151D53" w:rsidP="00151D53">
      <w:pPr>
        <w:numPr>
          <w:ilvl w:val="1"/>
          <w:numId w:val="1"/>
        </w:numPr>
        <w:spacing w:after="0" w:line="360" w:lineRule="auto"/>
        <w:contextualSpacing/>
        <w:jc w:val="both"/>
        <w:rPr>
          <w:rFonts w:ascii="Palatino Linotype" w:hAnsi="Palatino Linotype"/>
          <w:sz w:val="24"/>
          <w:szCs w:val="24"/>
        </w:rPr>
      </w:pPr>
      <w:r w:rsidRPr="00151D53">
        <w:rPr>
          <w:rFonts w:ascii="Palatino Linotype" w:hAnsi="Palatino Linotype"/>
          <w:b/>
          <w:sz w:val="24"/>
          <w:szCs w:val="24"/>
        </w:rPr>
        <w:t>DECLARACIÓN UNIVERSAL DE DERECHOS HUMANOS.</w:t>
      </w:r>
      <w:r w:rsidRPr="00151D53">
        <w:rPr>
          <w:rFonts w:ascii="Palatino Linotype" w:hAnsi="Palatino Linotype"/>
          <w:sz w:val="24"/>
          <w:szCs w:val="24"/>
        </w:rPr>
        <w:t xml:space="preserve"> Adoptada y proclamada por la Asamblea General de la Organización de Naciones Unidad en su resolución 217 A (III), del diez de diciembre de mil novecientos cuarenta y ocho.</w:t>
      </w:r>
    </w:p>
    <w:p w:rsidR="00151D53" w:rsidRDefault="00DE60FA" w:rsidP="00DE60FA">
      <w:pPr>
        <w:numPr>
          <w:ilvl w:val="1"/>
          <w:numId w:val="1"/>
        </w:numPr>
        <w:spacing w:after="0" w:line="360" w:lineRule="auto"/>
        <w:contextualSpacing/>
        <w:jc w:val="both"/>
        <w:rPr>
          <w:rFonts w:ascii="Palatino Linotype" w:hAnsi="Palatino Linotype"/>
          <w:sz w:val="24"/>
          <w:szCs w:val="24"/>
        </w:rPr>
      </w:pPr>
      <w:r>
        <w:rPr>
          <w:rFonts w:ascii="Palatino Linotype" w:hAnsi="Palatino Linotype"/>
          <w:b/>
          <w:sz w:val="24"/>
          <w:szCs w:val="24"/>
        </w:rPr>
        <w:t>PACTO INTERNACIONAL DE DERECHOS CIVILES Y POLÍTICOS.</w:t>
      </w:r>
      <w:r>
        <w:rPr>
          <w:rFonts w:ascii="Palatino Linotype" w:hAnsi="Palatino Linotype"/>
          <w:sz w:val="24"/>
          <w:szCs w:val="24"/>
        </w:rPr>
        <w:t xml:space="preserve"> </w:t>
      </w:r>
      <w:r w:rsidRPr="00DE60FA">
        <w:rPr>
          <w:rFonts w:ascii="Palatino Linotype" w:hAnsi="Palatino Linotype"/>
          <w:sz w:val="24"/>
          <w:szCs w:val="24"/>
        </w:rPr>
        <w:t>publicado en el Diario Oficial de la Federación el veinte de mayo de mil novecientos ochenta y uno. El diecinueve de diciembre de mil novecientos sesenta y seis se abrió a firma en la ciudad de Nueva York, Estados Unidos de América y fue ratificado por el Senado Mexicano el dieciocho de diciembre de mil novecientos ochenta.</w:t>
      </w:r>
    </w:p>
    <w:p w:rsidR="00DE60FA" w:rsidRDefault="00DE60FA" w:rsidP="00DE60FA">
      <w:pPr>
        <w:numPr>
          <w:ilvl w:val="1"/>
          <w:numId w:val="1"/>
        </w:numPr>
        <w:spacing w:after="0" w:line="360" w:lineRule="auto"/>
        <w:contextualSpacing/>
        <w:jc w:val="both"/>
        <w:rPr>
          <w:rFonts w:ascii="Palatino Linotype" w:hAnsi="Palatino Linotype"/>
          <w:sz w:val="24"/>
          <w:szCs w:val="24"/>
        </w:rPr>
      </w:pPr>
      <w:r>
        <w:rPr>
          <w:rFonts w:ascii="Palatino Linotype" w:hAnsi="Palatino Linotype"/>
          <w:b/>
          <w:sz w:val="24"/>
          <w:szCs w:val="24"/>
        </w:rPr>
        <w:t>CONVENCIÓN AMERICANA SOBRE DERECHOS HUMANOS.</w:t>
      </w:r>
      <w:r>
        <w:rPr>
          <w:rFonts w:ascii="Palatino Linotype" w:hAnsi="Palatino Linotype"/>
          <w:sz w:val="24"/>
          <w:szCs w:val="24"/>
        </w:rPr>
        <w:t xml:space="preserve"> </w:t>
      </w:r>
      <w:r w:rsidRPr="00DE60FA">
        <w:rPr>
          <w:rFonts w:ascii="Palatino Linotype" w:hAnsi="Palatino Linotype"/>
          <w:sz w:val="24"/>
          <w:szCs w:val="24"/>
        </w:rPr>
        <w:t>Firmada el veintidós de noviembre de mil novecientos sesenta y nueve en la ciudad de San José de Costa Rica y ratificada por la Cámara de Senadores del Congreso de la Unión el dieciocho de diciembre de mil novecientos ochenta. Esta convención fue publicada en el Diario Oficial de la Federación el siete de mayo de mil novecientos ochenta y uno.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F42B04" w:rsidP="00DE60FA">
      <w:pPr>
        <w:numPr>
          <w:ilvl w:val="0"/>
          <w:numId w:val="1"/>
        </w:numPr>
        <w:spacing w:after="0" w:line="360" w:lineRule="auto"/>
        <w:contextualSpacing/>
        <w:jc w:val="both"/>
        <w:rPr>
          <w:rFonts w:ascii="Palatino Linotype" w:hAnsi="Palatino Linotype"/>
          <w:sz w:val="24"/>
          <w:szCs w:val="24"/>
        </w:rPr>
      </w:pPr>
      <w:r>
        <w:rPr>
          <w:rFonts w:ascii="Palatino Linotype" w:hAnsi="Palatino Linotype"/>
          <w:sz w:val="24"/>
          <w:szCs w:val="24"/>
        </w:rPr>
        <w:t>Estos Tratados I</w:t>
      </w:r>
      <w:r w:rsidR="00DE60FA" w:rsidRPr="00DE60FA">
        <w:rPr>
          <w:rFonts w:ascii="Palatino Linotype" w:hAnsi="Palatino Linotype"/>
          <w:sz w:val="24"/>
          <w:szCs w:val="24"/>
        </w:rPr>
        <w:t>nternacionales reconocen la libertad de pensamiento y expresión como un derecho humano que abarca el derecho a buscar, recibir y difundir información por cualquier medio, oralmente, en forma impresa o en cualquier otro medio a elección de la persona.</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este modo, el artículo 19 de la Declaración Universal de Derechos Humanos lo reconoce de la siguiente manera:</w:t>
      </w:r>
    </w:p>
    <w:p w:rsidR="007317E8" w:rsidRPr="00DE60FA" w:rsidRDefault="00DE60FA" w:rsidP="00DE60FA">
      <w:pPr>
        <w:pStyle w:val="Sinespaciado"/>
        <w:ind w:left="851" w:right="567"/>
        <w:jc w:val="both"/>
        <w:rPr>
          <w:rFonts w:ascii="Palatino Linotype" w:hAnsi="Palatino Linotype"/>
          <w:i/>
        </w:rPr>
      </w:pPr>
      <w:r>
        <w:rPr>
          <w:rFonts w:ascii="Palatino Linotype" w:hAnsi="Palatino Linotype"/>
          <w:b/>
          <w:i/>
        </w:rPr>
        <w:t>“</w:t>
      </w:r>
      <w:r w:rsidRPr="00DE60FA">
        <w:rPr>
          <w:rFonts w:ascii="Palatino Linotype" w:hAnsi="Palatino Linotype"/>
          <w:b/>
          <w:i/>
        </w:rPr>
        <w:t>Artículo 19.</w:t>
      </w:r>
      <w:r>
        <w:rPr>
          <w:rFonts w:ascii="Palatino Linotype" w:hAnsi="Palatino Linotype"/>
          <w:i/>
        </w:rPr>
        <w:t xml:space="preserve"> </w:t>
      </w:r>
      <w:r w:rsidRPr="00DE60FA">
        <w:rPr>
          <w:rFonts w:ascii="Palatino Linotype" w:hAnsi="Palatino Linotype"/>
          <w:i/>
        </w:rPr>
        <w:t xml:space="preserve">Todo individuo tiene derecho a la libertad de opinión y de expresión; este derecho incluye el no ser molestado a causa de sus opiniones, el de </w:t>
      </w:r>
      <w:r w:rsidRPr="00DE60FA">
        <w:rPr>
          <w:rFonts w:ascii="Palatino Linotype" w:hAnsi="Palatino Linotype"/>
          <w:i/>
          <w:u w:val="single"/>
        </w:rPr>
        <w:t>investigar y recibir informaciones y opiniones</w:t>
      </w:r>
      <w:r w:rsidRPr="00DE60FA">
        <w:rPr>
          <w:rFonts w:ascii="Palatino Linotype" w:hAnsi="Palatino Linotype"/>
          <w:i/>
        </w:rPr>
        <w:t>, y el de difundirlas, sin limitación de fronteras, por cualquier medio de expresión.</w:t>
      </w:r>
      <w:r>
        <w:rPr>
          <w:rFonts w:ascii="Palatino Linotype" w:hAnsi="Palatino Linotype"/>
          <w:i/>
        </w:rPr>
        <w:t>”</w:t>
      </w:r>
    </w:p>
    <w:p w:rsidR="00DE60FA" w:rsidRPr="007317E8" w:rsidRDefault="00DE60FA" w:rsidP="007317E8">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Por su parte, el artículo 19 del Pacto Internacional de Derechos Civiles y Políticos protege este derecho con los siguientes alcances:</w:t>
      </w:r>
    </w:p>
    <w:p w:rsidR="00DE60FA" w:rsidRPr="00DE60FA" w:rsidRDefault="00DE60FA" w:rsidP="00DE60FA">
      <w:pPr>
        <w:pStyle w:val="Sinespaciado"/>
        <w:ind w:left="851" w:right="567"/>
        <w:jc w:val="both"/>
        <w:rPr>
          <w:rFonts w:ascii="Palatino Linotype" w:hAnsi="Palatino Linotype"/>
          <w:b/>
          <w:i/>
        </w:rPr>
      </w:pPr>
      <w:r>
        <w:rPr>
          <w:rFonts w:ascii="Palatino Linotype" w:hAnsi="Palatino Linotype"/>
          <w:b/>
          <w:i/>
        </w:rPr>
        <w:t>“</w:t>
      </w:r>
      <w:r w:rsidRPr="00DE60FA">
        <w:rPr>
          <w:rFonts w:ascii="Palatino Linotype" w:hAnsi="Palatino Linotype"/>
          <w:b/>
          <w:i/>
        </w:rPr>
        <w:t>Artículo 19</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1. Nadie podrá ser molestado a causa de sus opiniones.</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 xml:space="preserve">2. Toda persona tiene derecho a la libertad de expresión; este derecho comprende la </w:t>
      </w:r>
      <w:r w:rsidRPr="00DE60FA">
        <w:rPr>
          <w:rFonts w:ascii="Palatino Linotype" w:hAnsi="Palatino Linotype"/>
          <w:i/>
          <w:u w:val="single"/>
        </w:rPr>
        <w:t>libertad de buscar, recibir y difundir informaciones</w:t>
      </w:r>
      <w:r w:rsidRPr="00DE60FA">
        <w:rPr>
          <w:rFonts w:ascii="Palatino Linotype" w:hAnsi="Palatino Linotype"/>
          <w:i/>
        </w:rPr>
        <w:t xml:space="preserve"> e ideas de toda índole, sin consideración de fronteras, ya sea oralmente, por escrito o en forma impresa o artística, o por cualquier otro procedimiento de su elección.</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rPr>
        <w:t xml:space="preserve">3. El ejercicio del derecho previsto en el párrafo 2 de este artículo entraña deberes y responsabilidades especiales. </w:t>
      </w:r>
      <w:r w:rsidRPr="00DE60FA">
        <w:rPr>
          <w:rFonts w:ascii="Palatino Linotype" w:hAnsi="Palatino Linotype"/>
          <w:i/>
          <w:u w:val="single"/>
        </w:rPr>
        <w:t>Por consiguiente, puede estar sujeto a ciertas restricciones que deberán, sin embargo, estar expresamente fijadas por la ley y ser necesaria para:</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u w:val="single"/>
        </w:rPr>
        <w:t>a) Asegurar el respeto a los derechos o a la reputación de los demás;</w:t>
      </w:r>
    </w:p>
    <w:p w:rsidR="00DE60FA" w:rsidRDefault="00DE60FA" w:rsidP="00DE60FA">
      <w:pPr>
        <w:pStyle w:val="Sinespaciado"/>
        <w:ind w:left="851" w:right="567"/>
        <w:jc w:val="both"/>
      </w:pPr>
      <w:r w:rsidRPr="00DE60FA">
        <w:rPr>
          <w:rFonts w:ascii="Palatino Linotype" w:hAnsi="Palatino Linotype"/>
          <w:i/>
          <w:u w:val="single"/>
        </w:rPr>
        <w:t>b) La protección de la seguridad nacional, el orden público o la salud o la moral públicas.</w:t>
      </w:r>
      <w:r>
        <w:rPr>
          <w:rFonts w:ascii="Palatino Linotype" w:hAnsi="Palatino Linotype"/>
          <w:i/>
          <w:u w:val="single"/>
        </w:rPr>
        <w:t>”</w:t>
      </w:r>
    </w:p>
    <w:p w:rsidR="00DE60FA" w:rsidRPr="007317E8" w:rsidRDefault="00DE60FA" w:rsidP="00DE60FA">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lastRenderedPageBreak/>
        <w:t>Finalmente, el artículo 13 de la Convención Americana sobre Derechos Humanos reconoce a la libertad de pensamiento y expresión como un derecho de todas las personas bajo los siguientes postulados:</w:t>
      </w:r>
    </w:p>
    <w:p w:rsidR="00DE60FA" w:rsidRPr="00DE60FA" w:rsidRDefault="00DE60FA" w:rsidP="00DE60FA">
      <w:pPr>
        <w:pStyle w:val="Sinespaciado"/>
        <w:ind w:left="851" w:right="567"/>
        <w:jc w:val="both"/>
        <w:rPr>
          <w:rFonts w:ascii="Palatino Linotype" w:hAnsi="Palatino Linotype"/>
          <w:b/>
          <w:i/>
        </w:rPr>
      </w:pPr>
      <w:r>
        <w:rPr>
          <w:rFonts w:ascii="Palatino Linotype" w:hAnsi="Palatino Linotype"/>
          <w:b/>
          <w:i/>
        </w:rPr>
        <w:t>“</w:t>
      </w:r>
      <w:r w:rsidRPr="00DE60FA">
        <w:rPr>
          <w:rFonts w:ascii="Palatino Linotype" w:hAnsi="Palatino Linotype"/>
          <w:b/>
          <w:i/>
        </w:rPr>
        <w:t>Artículo 13. Libertad de Pensamiento y de Expresión</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 xml:space="preserve">1. Toda persona tiene derecho a la libertad de pensamiento y de expresión. </w:t>
      </w:r>
      <w:r w:rsidRPr="00DE60FA">
        <w:rPr>
          <w:rFonts w:ascii="Palatino Linotype" w:hAnsi="Palatino Linotype"/>
          <w:i/>
          <w:u w:val="single"/>
        </w:rPr>
        <w:t>Este derecho comprende la libertad de buscar, recibir y difundir informaciones e ideas de toda índole</w:t>
      </w:r>
      <w:r w:rsidRPr="00DE60FA">
        <w:rPr>
          <w:rFonts w:ascii="Palatino Linotype" w:hAnsi="Palatino Linotype"/>
          <w:i/>
        </w:rPr>
        <w:t>, sin consideración de fronteras ya sea oralmente, por escrito o en forma impresa o artística, o por cualquier otro procedimiento de su elección.</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rPr>
        <w:t xml:space="preserve">2. El ejercicio del derecho previsto en el inciso precedente no puede estar sujeto a previa censura sino a responsabilidades ulteriores, </w:t>
      </w:r>
      <w:r w:rsidRPr="00DE60FA">
        <w:rPr>
          <w:rFonts w:ascii="Palatino Linotype" w:hAnsi="Palatino Linotype"/>
          <w:i/>
          <w:u w:val="single"/>
        </w:rPr>
        <w:t>las que deben estar expresamente fijadas por la ley y ser necesarias para asegurar:</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u w:val="single"/>
        </w:rPr>
        <w:t>a) el respeto a los derechos o a la reputación de los demás, o</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u w:val="single"/>
        </w:rPr>
        <w:t>b) la protección de la seguridad nacional, el orden público o la salud o la moral públicas.</w:t>
      </w:r>
    </w:p>
    <w:p w:rsidR="00DE60FA" w:rsidRPr="00DE60FA" w:rsidRDefault="00DE60FA" w:rsidP="00DE60FA">
      <w:pPr>
        <w:pStyle w:val="Sinespaciado"/>
        <w:ind w:left="851" w:right="567"/>
        <w:jc w:val="both"/>
        <w:rPr>
          <w:rFonts w:ascii="Palatino Linotype" w:hAnsi="Palatino Linotype"/>
          <w:i/>
        </w:rPr>
      </w:pPr>
      <w:r>
        <w:rPr>
          <w:rFonts w:ascii="Palatino Linotype" w:hAnsi="Palatino Linotype"/>
          <w:i/>
        </w:rPr>
        <w:t>(</w:t>
      </w:r>
      <w:r w:rsidRPr="00DE60FA">
        <w:rPr>
          <w:rFonts w:ascii="Palatino Linotype" w:hAnsi="Palatino Linotype"/>
          <w:i/>
        </w:rPr>
        <w:t>…</w:t>
      </w:r>
      <w:r>
        <w:rPr>
          <w:rFonts w:ascii="Palatino Linotype" w:hAnsi="Palatino Linotype"/>
          <w:i/>
        </w:rPr>
        <w:t>)”</w:t>
      </w:r>
    </w:p>
    <w:p w:rsidR="00DE60FA" w:rsidRPr="007317E8" w:rsidRDefault="00DE60FA" w:rsidP="00DE60FA">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rsidR="00F42B04" w:rsidRPr="00DE60FA" w:rsidRDefault="00F42B04" w:rsidP="00F42B04">
      <w:pPr>
        <w:spacing w:after="0" w:line="360" w:lineRule="auto"/>
        <w:ind w:left="360"/>
        <w:contextualSpacing/>
        <w:jc w:val="both"/>
        <w:rPr>
          <w:rFonts w:ascii="Palatino Linotype" w:hAnsi="Palatino Linotype"/>
          <w:sz w:val="24"/>
          <w:szCs w:val="24"/>
        </w:rPr>
      </w:pPr>
    </w:p>
    <w:p w:rsidR="00DE60FA" w:rsidRPr="00DE60FA"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 xml:space="preserve">De 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w:t>
      </w:r>
      <w:r w:rsidRPr="00DE60FA">
        <w:rPr>
          <w:rFonts w:ascii="Palatino Linotype" w:hAnsi="Palatino Linotype"/>
          <w:sz w:val="24"/>
          <w:szCs w:val="24"/>
        </w:rPr>
        <w:lastRenderedPageBreak/>
        <w:t>(hechos,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rsidR="00DE60FA" w:rsidRPr="00DE60FA" w:rsidRDefault="00DE60FA" w:rsidP="00DE60FA">
      <w:pPr>
        <w:spacing w:after="0" w:line="360" w:lineRule="auto"/>
        <w:ind w:left="360"/>
        <w:contextualSpacing/>
        <w:jc w:val="both"/>
        <w:rPr>
          <w:rFonts w:ascii="Palatino Linotype" w:hAnsi="Palatino Linotype"/>
          <w:sz w:val="24"/>
          <w:szCs w:val="24"/>
        </w:rPr>
      </w:pPr>
    </w:p>
    <w:p w:rsidR="00DE60FA" w:rsidRPr="00DE60FA" w:rsidRDefault="00C878B6" w:rsidP="00DE60FA">
      <w:pPr>
        <w:numPr>
          <w:ilvl w:val="0"/>
          <w:numId w:val="1"/>
        </w:numPr>
        <w:spacing w:after="0" w:line="360" w:lineRule="auto"/>
        <w:contextualSpacing/>
        <w:jc w:val="both"/>
        <w:rPr>
          <w:rFonts w:ascii="Palatino Linotype" w:hAnsi="Palatino Linotype"/>
          <w:sz w:val="24"/>
          <w:szCs w:val="24"/>
        </w:rPr>
      </w:pPr>
      <w:r>
        <w:rPr>
          <w:rFonts w:ascii="Palatino Linotype" w:hAnsi="Palatino Linotype"/>
          <w:sz w:val="24"/>
          <w:szCs w:val="24"/>
        </w:rPr>
        <w:t>Y es bajo las anteriores consideraciones</w:t>
      </w:r>
      <w:r w:rsidR="00DE60FA" w:rsidRPr="00DE60FA">
        <w:rPr>
          <w:rFonts w:ascii="Palatino Linotype" w:hAnsi="Palatino Linotype"/>
          <w:sz w:val="24"/>
          <w:szCs w:val="24"/>
        </w:rPr>
        <w:t xml:space="preserve">, </w:t>
      </w:r>
      <w:r>
        <w:rPr>
          <w:rFonts w:ascii="Palatino Linotype" w:hAnsi="Palatino Linotype"/>
          <w:sz w:val="24"/>
          <w:szCs w:val="24"/>
        </w:rPr>
        <w:t>por lo cual</w:t>
      </w:r>
      <w:r w:rsidR="00DE60FA">
        <w:rPr>
          <w:rFonts w:ascii="Palatino Linotype" w:hAnsi="Palatino Linotype"/>
          <w:sz w:val="24"/>
          <w:szCs w:val="24"/>
        </w:rPr>
        <w:t xml:space="preserve"> mi Ponencia</w:t>
      </w:r>
      <w:r w:rsidR="00DE60FA" w:rsidRPr="00DE60FA">
        <w:rPr>
          <w:rFonts w:ascii="Palatino Linotype" w:hAnsi="Palatino Linotype"/>
          <w:sz w:val="24"/>
          <w:szCs w:val="24"/>
        </w:rPr>
        <w:t xml:space="preserve"> </w:t>
      </w:r>
      <w:r w:rsidR="00DE60FA">
        <w:rPr>
          <w:rFonts w:ascii="Palatino Linotype" w:hAnsi="Palatino Linotype"/>
          <w:sz w:val="24"/>
          <w:szCs w:val="24"/>
        </w:rPr>
        <w:t>ha mantenido la postura de</w:t>
      </w:r>
      <w:r w:rsidR="00DE60FA" w:rsidRPr="00DE60FA">
        <w:rPr>
          <w:rFonts w:ascii="Palatino Linotype" w:hAnsi="Palatino Linotype"/>
          <w:sz w:val="24"/>
          <w:szCs w:val="24"/>
        </w:rPr>
        <w:t xml:space="preserve"> que la fracción V</w:t>
      </w:r>
      <w:r w:rsidR="0017117E">
        <w:rPr>
          <w:rFonts w:ascii="Palatino Linotype" w:hAnsi="Palatino Linotype"/>
          <w:sz w:val="24"/>
          <w:szCs w:val="24"/>
        </w:rPr>
        <w:t>I</w:t>
      </w:r>
      <w:r w:rsidR="00DE60FA" w:rsidRPr="00DE60FA">
        <w:rPr>
          <w:rFonts w:ascii="Palatino Linotype" w:hAnsi="Palatino Linotype"/>
          <w:sz w:val="24"/>
          <w:szCs w:val="24"/>
        </w:rPr>
        <w:t xml:space="preserve"> </w:t>
      </w:r>
      <w:r w:rsidR="00DE60FA">
        <w:rPr>
          <w:rFonts w:ascii="Palatino Linotype" w:hAnsi="Palatino Linotype"/>
          <w:sz w:val="24"/>
          <w:szCs w:val="24"/>
        </w:rPr>
        <w:t>del</w:t>
      </w:r>
      <w:r w:rsidR="00DE60FA" w:rsidRPr="00DE60FA">
        <w:rPr>
          <w:rFonts w:ascii="Palatino Linotype" w:hAnsi="Palatino Linotype"/>
          <w:sz w:val="24"/>
          <w:szCs w:val="24"/>
        </w:rPr>
        <w:t xml:space="preserve"> artículo 148 del Código Financiero del Estado de México y Municipios, restringe el derecho humano de acceso a la información pública al agregar un costo al escaneo y digitalización de la información solicitada para ser entregada a través de la plataforma electrónica SAIMEX.</w:t>
      </w:r>
    </w:p>
    <w:p w:rsidR="007317E8" w:rsidRPr="007317E8" w:rsidRDefault="007317E8" w:rsidP="00DE60FA">
      <w:pPr>
        <w:spacing w:after="0" w:line="360" w:lineRule="auto"/>
        <w:ind w:left="360"/>
        <w:contextualSpacing/>
        <w:jc w:val="both"/>
        <w:rPr>
          <w:rFonts w:ascii="Palatino Linotype" w:hAnsi="Palatino Linotype"/>
          <w:sz w:val="24"/>
          <w:szCs w:val="24"/>
        </w:rPr>
      </w:pPr>
    </w:p>
    <w:p w:rsidR="0017117E" w:rsidRPr="00931CD6" w:rsidRDefault="007317E8" w:rsidP="0017117E">
      <w:pPr>
        <w:numPr>
          <w:ilvl w:val="0"/>
          <w:numId w:val="1"/>
        </w:numPr>
        <w:spacing w:after="0" w:line="360" w:lineRule="auto"/>
        <w:contextualSpacing/>
        <w:jc w:val="both"/>
        <w:rPr>
          <w:rFonts w:ascii="Palatino Linotype" w:hAnsi="Palatino Linotype"/>
          <w:sz w:val="24"/>
          <w:szCs w:val="24"/>
        </w:rPr>
      </w:pPr>
      <w:r>
        <w:rPr>
          <w:rFonts w:ascii="Palatino Linotype" w:hAnsi="Palatino Linotype" w:cs="Arial"/>
          <w:bCs/>
          <w:sz w:val="24"/>
          <w:szCs w:val="24"/>
        </w:rPr>
        <w:t>P</w:t>
      </w:r>
      <w:r w:rsidR="00B85B0B">
        <w:rPr>
          <w:rFonts w:ascii="Palatino Linotype" w:hAnsi="Palatino Linotype" w:cs="Arial"/>
          <w:bCs/>
          <w:sz w:val="24"/>
          <w:szCs w:val="24"/>
        </w:rPr>
        <w:t>or consiguiente, d</w:t>
      </w:r>
      <w:r w:rsidR="002770E2">
        <w:rPr>
          <w:rFonts w:ascii="Palatino Linotype" w:hAnsi="Palatino Linotype" w:cs="Arial"/>
          <w:bCs/>
          <w:sz w:val="24"/>
          <w:szCs w:val="24"/>
        </w:rPr>
        <w:t xml:space="preserve">e las consideraciones señaladas y derivado de la funciones y atribuciones conferidas a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 xml:space="preserve">se deduce que </w:t>
      </w:r>
      <w:r w:rsidR="00832B9B">
        <w:rPr>
          <w:rFonts w:ascii="Palatino Linotype" w:hAnsi="Palatino Linotype" w:cs="Arial"/>
          <w:bCs/>
          <w:sz w:val="24"/>
          <w:szCs w:val="24"/>
        </w:rPr>
        <w:t>cuenta con las capacidades</w:t>
      </w:r>
      <w:r w:rsidR="002770E2">
        <w:rPr>
          <w:rFonts w:ascii="Palatino Linotype" w:hAnsi="Palatino Linotype" w:cs="Arial"/>
          <w:bCs/>
          <w:sz w:val="24"/>
          <w:szCs w:val="24"/>
        </w:rPr>
        <w:t xml:space="preserve"> técnicas y presupuestales</w:t>
      </w:r>
      <w:r w:rsidR="0037144D">
        <w:rPr>
          <w:rFonts w:ascii="Palatino Linotype" w:hAnsi="Palatino Linotype" w:cs="Arial"/>
          <w:bCs/>
          <w:sz w:val="24"/>
          <w:szCs w:val="24"/>
        </w:rPr>
        <w:t xml:space="preserve"> necesarias</w:t>
      </w:r>
      <w:r w:rsidR="00832B9B">
        <w:rPr>
          <w:rFonts w:ascii="Palatino Linotype" w:hAnsi="Palatino Linotype" w:cs="Arial"/>
          <w:bCs/>
          <w:sz w:val="24"/>
          <w:szCs w:val="24"/>
        </w:rPr>
        <w:t xml:space="preserve"> para realizar sus funciones sin alguna</w:t>
      </w:r>
      <w:r>
        <w:rPr>
          <w:rFonts w:ascii="Palatino Linotype" w:hAnsi="Palatino Linotype" w:cs="Arial"/>
          <w:bCs/>
          <w:sz w:val="24"/>
          <w:szCs w:val="24"/>
        </w:rPr>
        <w:t xml:space="preserve"> limitante para observar </w:t>
      </w:r>
      <w:r w:rsidR="002770E2">
        <w:rPr>
          <w:rFonts w:ascii="Palatino Linotype" w:hAnsi="Palatino Linotype" w:cs="Arial"/>
          <w:bCs/>
          <w:sz w:val="24"/>
          <w:szCs w:val="24"/>
        </w:rPr>
        <w:t>l</w:t>
      </w:r>
      <w:r>
        <w:rPr>
          <w:rFonts w:ascii="Palatino Linotype" w:hAnsi="Palatino Linotype" w:cs="Arial"/>
          <w:bCs/>
          <w:sz w:val="24"/>
          <w:szCs w:val="24"/>
        </w:rPr>
        <w:t>os</w:t>
      </w:r>
      <w:r w:rsidR="002770E2">
        <w:rPr>
          <w:rFonts w:ascii="Palatino Linotype" w:hAnsi="Palatino Linotype" w:cs="Arial"/>
          <w:bCs/>
          <w:sz w:val="24"/>
          <w:szCs w:val="24"/>
        </w:rPr>
        <w:t xml:space="preserve"> principio</w:t>
      </w:r>
      <w:r>
        <w:rPr>
          <w:rFonts w:ascii="Palatino Linotype" w:hAnsi="Palatino Linotype" w:cs="Arial"/>
          <w:bCs/>
          <w:sz w:val="24"/>
          <w:szCs w:val="24"/>
        </w:rPr>
        <w:t>s</w:t>
      </w:r>
      <w:r w:rsidR="002770E2">
        <w:rPr>
          <w:rFonts w:ascii="Palatino Linotype" w:hAnsi="Palatino Linotype" w:cs="Arial"/>
          <w:bCs/>
          <w:sz w:val="24"/>
          <w:szCs w:val="24"/>
        </w:rPr>
        <w:t xml:space="preserve"> de gratuidad </w:t>
      </w:r>
      <w:r>
        <w:rPr>
          <w:rFonts w:ascii="Palatino Linotype" w:hAnsi="Palatino Linotype" w:cs="Arial"/>
          <w:bCs/>
          <w:sz w:val="24"/>
          <w:szCs w:val="24"/>
        </w:rPr>
        <w:t xml:space="preserve">y </w:t>
      </w:r>
      <w:r>
        <w:rPr>
          <w:rFonts w:ascii="Palatino Linotype" w:hAnsi="Palatino Linotype" w:cs="Arial"/>
          <w:bCs/>
          <w:i/>
          <w:sz w:val="24"/>
          <w:szCs w:val="24"/>
        </w:rPr>
        <w:t xml:space="preserve">pro </w:t>
      </w:r>
      <w:r w:rsidRPr="007317E8">
        <w:rPr>
          <w:rFonts w:ascii="Palatino Linotype" w:hAnsi="Palatino Linotype" w:cs="Arial"/>
          <w:bCs/>
          <w:i/>
          <w:sz w:val="24"/>
          <w:szCs w:val="24"/>
        </w:rPr>
        <w:t>persona</w:t>
      </w:r>
      <w:r>
        <w:rPr>
          <w:rFonts w:ascii="Palatino Linotype" w:hAnsi="Palatino Linotype" w:cs="Arial"/>
          <w:bCs/>
          <w:sz w:val="24"/>
          <w:szCs w:val="24"/>
        </w:rPr>
        <w:t xml:space="preserve"> </w:t>
      </w:r>
      <w:r w:rsidR="002770E2" w:rsidRPr="007317E8">
        <w:rPr>
          <w:rFonts w:ascii="Palatino Linotype" w:hAnsi="Palatino Linotype" w:cs="Arial"/>
          <w:bCs/>
          <w:sz w:val="24"/>
          <w:szCs w:val="24"/>
        </w:rPr>
        <w:t>previamente</w:t>
      </w:r>
      <w:r w:rsidR="002770E2">
        <w:rPr>
          <w:rFonts w:ascii="Palatino Linotype" w:hAnsi="Palatino Linotype" w:cs="Arial"/>
          <w:bCs/>
          <w:sz w:val="24"/>
          <w:szCs w:val="24"/>
        </w:rPr>
        <w:t xml:space="preserve"> estudiado</w:t>
      </w:r>
      <w:r>
        <w:rPr>
          <w:rFonts w:ascii="Palatino Linotype" w:hAnsi="Palatino Linotype" w:cs="Arial"/>
          <w:bCs/>
          <w:sz w:val="24"/>
          <w:szCs w:val="24"/>
        </w:rPr>
        <w:t>s</w:t>
      </w:r>
      <w:r w:rsidR="00832B9B">
        <w:rPr>
          <w:rFonts w:ascii="Palatino Linotype" w:hAnsi="Palatino Linotype" w:cs="Arial"/>
          <w:bCs/>
          <w:sz w:val="24"/>
          <w:szCs w:val="24"/>
        </w:rPr>
        <w:t>,</w:t>
      </w:r>
      <w:r w:rsidR="002770E2">
        <w:rPr>
          <w:rFonts w:ascii="Palatino Linotype" w:hAnsi="Palatino Linotype" w:cs="Arial"/>
          <w:bCs/>
          <w:sz w:val="24"/>
          <w:szCs w:val="24"/>
        </w:rPr>
        <w:t xml:space="preserve"> y por lo tanto entregar la información en la modalidad requerida por </w:t>
      </w:r>
      <w:r w:rsidR="00085EDB">
        <w:rPr>
          <w:rFonts w:ascii="Palatino Linotype" w:hAnsi="Palatino Linotype"/>
          <w:b/>
          <w:sz w:val="24"/>
          <w:szCs w:val="24"/>
        </w:rPr>
        <w:t>XXXXXXXXXXX</w:t>
      </w:r>
      <w:r w:rsidR="002770E2">
        <w:rPr>
          <w:rFonts w:ascii="Palatino Linotype" w:hAnsi="Palatino Linotype"/>
          <w:b/>
          <w:sz w:val="24"/>
          <w:szCs w:val="24"/>
        </w:rPr>
        <w:t xml:space="preserve"> </w:t>
      </w:r>
      <w:r w:rsidR="002770E2">
        <w:rPr>
          <w:rFonts w:ascii="Palatino Linotype" w:hAnsi="Palatino Linotype"/>
          <w:sz w:val="24"/>
          <w:szCs w:val="24"/>
        </w:rPr>
        <w:t xml:space="preserve">sin necesidad de que previo a la entrega de la información realice pago alguno, </w:t>
      </w:r>
      <w:r w:rsidR="002770E2" w:rsidRPr="006807C7">
        <w:rPr>
          <w:rFonts w:ascii="Palatino Linotype" w:hAnsi="Palatino Linotype" w:cs="Arial"/>
          <w:sz w:val="24"/>
          <w:szCs w:val="24"/>
        </w:rPr>
        <w:t xml:space="preserve">ya que actuar como se propone en la resolución resulta una carga desproporcionada que limita su derecho, </w:t>
      </w:r>
      <w:r w:rsidR="002770E2" w:rsidRPr="00B62D68">
        <w:rPr>
          <w:rFonts w:ascii="Palatino Linotype" w:hAnsi="Palatino Linotype" w:cs="Arial"/>
          <w:b/>
          <w:sz w:val="24"/>
          <w:szCs w:val="24"/>
        </w:rPr>
        <w:t>afecta el ejercicio de control popular de los actos de gobierno</w:t>
      </w:r>
      <w:r w:rsidR="00832B9B">
        <w:rPr>
          <w:rFonts w:ascii="Palatino Linotype" w:hAnsi="Palatino Linotype" w:cs="Arial"/>
          <w:sz w:val="24"/>
          <w:szCs w:val="24"/>
        </w:rPr>
        <w:t xml:space="preserve"> y </w:t>
      </w:r>
      <w:r w:rsidR="002770E2" w:rsidRPr="006807C7">
        <w:rPr>
          <w:rFonts w:ascii="Palatino Linotype" w:hAnsi="Palatino Linotype" w:cs="Arial"/>
          <w:sz w:val="24"/>
          <w:szCs w:val="24"/>
        </w:rPr>
        <w:t>debilita el debate público informado que, a la larga, sólo puede contribuir al fortalecimi</w:t>
      </w:r>
      <w:r w:rsidR="00931CD6">
        <w:rPr>
          <w:rFonts w:ascii="Palatino Linotype" w:hAnsi="Palatino Linotype" w:cs="Arial"/>
          <w:sz w:val="24"/>
          <w:szCs w:val="24"/>
        </w:rPr>
        <w:t>ento de la sociedad democrática</w:t>
      </w:r>
    </w:p>
    <w:p w:rsidR="00E6179D" w:rsidRPr="0083488C" w:rsidRDefault="00CD53CB" w:rsidP="00CD53CB">
      <w:pPr>
        <w:pStyle w:val="Ttulo1"/>
        <w:rPr>
          <w:rFonts w:eastAsia="Calibri"/>
          <w:szCs w:val="24"/>
        </w:rPr>
      </w:pPr>
      <w:bookmarkStart w:id="6" w:name="_Toc516449146"/>
      <w:r>
        <w:rPr>
          <w:rFonts w:eastAsia="Calibri"/>
          <w:color w:val="auto"/>
          <w:szCs w:val="24"/>
        </w:rPr>
        <w:lastRenderedPageBreak/>
        <w:t>V</w:t>
      </w:r>
      <w:r w:rsidR="00E43E11">
        <w:rPr>
          <w:rFonts w:eastAsia="Calibri"/>
          <w:color w:val="auto"/>
          <w:szCs w:val="24"/>
        </w:rPr>
        <w:t>I</w:t>
      </w:r>
      <w:r>
        <w:rPr>
          <w:rFonts w:eastAsia="Calibri"/>
          <w:color w:val="auto"/>
          <w:szCs w:val="24"/>
        </w:rPr>
        <w:t xml:space="preserve">. </w:t>
      </w:r>
      <w:r w:rsidR="00E6179D" w:rsidRPr="0083488C">
        <w:rPr>
          <w:rFonts w:eastAsia="Calibri"/>
          <w:color w:val="auto"/>
          <w:szCs w:val="24"/>
        </w:rPr>
        <w:t>Conclusión</w:t>
      </w:r>
      <w:bookmarkEnd w:id="6"/>
      <w:r w:rsidR="00931CD6">
        <w:rPr>
          <w:rFonts w:eastAsia="Calibri"/>
          <w:color w:val="auto"/>
          <w:szCs w:val="24"/>
        </w:rPr>
        <w:t>.</w:t>
      </w:r>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B85B0B">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w:t>
      </w:r>
      <w:r w:rsidR="007317E8">
        <w:rPr>
          <w:rFonts w:ascii="Palatino Linotype" w:eastAsia="Calibri" w:hAnsi="Palatino Linotype" w:cs="Arial"/>
          <w:sz w:val="24"/>
          <w:szCs w:val="24"/>
        </w:rPr>
        <w:t>anteriormente, considero que es</w:t>
      </w:r>
      <w:r w:rsidR="00B85B0B">
        <w:rPr>
          <w:rFonts w:ascii="Palatino Linotype" w:eastAsia="Calibri" w:hAnsi="Palatino Linotype" w:cs="Arial"/>
          <w:sz w:val="24"/>
          <w:szCs w:val="24"/>
        </w:rPr>
        <w:t xml:space="preserve"> de suma importancia que en los casos de que el </w:t>
      </w:r>
      <w:r w:rsidR="0017117E" w:rsidRPr="0017117E">
        <w:rPr>
          <w:rFonts w:ascii="Palatino Linotype" w:eastAsia="Calibri" w:hAnsi="Palatino Linotype" w:cs="Arial"/>
          <w:b/>
          <w:sz w:val="24"/>
          <w:szCs w:val="24"/>
        </w:rPr>
        <w:t>SUJETO OBLIGADO</w:t>
      </w:r>
      <w:r w:rsidR="0017117E">
        <w:rPr>
          <w:rFonts w:ascii="Palatino Linotype" w:eastAsia="Calibri" w:hAnsi="Palatino Linotype" w:cs="Arial"/>
          <w:sz w:val="24"/>
          <w:szCs w:val="24"/>
        </w:rPr>
        <w:t xml:space="preserve"> </w:t>
      </w:r>
      <w:r w:rsidR="00B85B0B">
        <w:rPr>
          <w:rFonts w:ascii="Palatino Linotype" w:eastAsia="Calibri" w:hAnsi="Palatino Linotype" w:cs="Arial"/>
          <w:sz w:val="24"/>
          <w:szCs w:val="24"/>
        </w:rPr>
        <w:t>condicione a los particulares a realizar el pago de derechos contenido en el artículo 73 fracción VI del Código Financiero del Estado de México, realicemos un estudio y análisis profundo de la contradicción legal que genera la fracción en comento a los principios de transparencia y acceso a la información pública que el Estado nos encargó procurar, velar y defender como máximos representantes de nuestro Instituto de Transparencia, Acceso a la Información Pública y Protección de Datos Personales del Estado de México y Municipios, de lo contrario, éste Órgano Garante se encontraría contribuyendo a ralentizar la necesaria evolución de nuestros entes administrativos a la era moderna de digitalización institucional.</w:t>
      </w:r>
    </w:p>
    <w:p w:rsidR="00205008" w:rsidRDefault="0020500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205008" w:rsidRDefault="0020500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205008" w:rsidRDefault="0020500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3855C9" w:rsidRPr="00931CD6"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931CD6">
        <w:rPr>
          <w:rFonts w:ascii="Palatino Linotype" w:eastAsia="Arial" w:hAnsi="Palatino Linotype" w:cs="Arial"/>
          <w:b/>
          <w:color w:val="000000" w:themeColor="text1"/>
          <w:sz w:val="24"/>
          <w:szCs w:val="24"/>
          <w:lang w:eastAsia="es-MX"/>
        </w:rPr>
        <w:t>JOSÉ GUADALUPE LUNA HERNÁNDEZ</w:t>
      </w:r>
      <w:r w:rsidRPr="00931CD6">
        <w:rPr>
          <w:rFonts w:ascii="Palatino Linotype" w:eastAsia="Arial" w:hAnsi="Palatino Linotype" w:cs="Arial"/>
          <w:b/>
          <w:color w:val="000000" w:themeColor="text1"/>
          <w:sz w:val="24"/>
          <w:szCs w:val="24"/>
          <w:lang w:eastAsia="es-MX"/>
        </w:rPr>
        <w:tab/>
      </w:r>
    </w:p>
    <w:p w:rsidR="003855C9" w:rsidRPr="00931CD6"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931CD6">
        <w:rPr>
          <w:rFonts w:ascii="Palatino Linotype" w:eastAsia="Arial" w:hAnsi="Palatino Linotype" w:cs="Arial"/>
          <w:b/>
          <w:color w:val="000000" w:themeColor="text1"/>
          <w:sz w:val="24"/>
          <w:szCs w:val="24"/>
          <w:lang w:eastAsia="es-MX"/>
        </w:rPr>
        <w:t>COMISIONADO</w:t>
      </w:r>
      <w:bookmarkStart w:id="7" w:name="_GoBack"/>
      <w:bookmarkEnd w:id="7"/>
    </w:p>
    <w:p w:rsidR="003855C9" w:rsidRPr="00931CD6" w:rsidRDefault="009A33F0" w:rsidP="00931CD6">
      <w:pPr>
        <w:jc w:val="center"/>
        <w:rPr>
          <w:rFonts w:ascii="Palatino Linotype" w:hAnsi="Palatino Linotype"/>
          <w:b/>
          <w:color w:val="000000" w:themeColor="text1"/>
          <w:sz w:val="24"/>
          <w:szCs w:val="24"/>
        </w:rPr>
      </w:pPr>
      <w:r w:rsidRPr="00931CD6">
        <w:rPr>
          <w:rFonts w:ascii="Palatino Linotype" w:hAnsi="Palatino Linotype"/>
          <w:b/>
          <w:color w:val="000000" w:themeColor="text1"/>
          <w:sz w:val="24"/>
          <w:szCs w:val="24"/>
        </w:rPr>
        <w:t>(Rúbrica)</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14C" w:rsidRDefault="000E014C" w:rsidP="00E82D3D">
      <w:pPr>
        <w:spacing w:after="0" w:line="240" w:lineRule="auto"/>
      </w:pPr>
      <w:r>
        <w:separator/>
      </w:r>
    </w:p>
  </w:endnote>
  <w:endnote w:type="continuationSeparator" w:id="0">
    <w:p w:rsidR="000E014C" w:rsidRDefault="000E014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5EDB">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EDB">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14C" w:rsidRDefault="000E014C" w:rsidP="00E82D3D">
      <w:pPr>
        <w:spacing w:after="0" w:line="240" w:lineRule="auto"/>
      </w:pPr>
      <w:r>
        <w:separator/>
      </w:r>
    </w:p>
  </w:footnote>
  <w:footnote w:type="continuationSeparator" w:id="0">
    <w:p w:rsidR="000E014C" w:rsidRDefault="000E014C"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E01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E01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E01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2B8E2722"/>
    <w:multiLevelType w:val="hybridMultilevel"/>
    <w:tmpl w:val="DC228A92"/>
    <w:lvl w:ilvl="0" w:tplc="941691AE">
      <w:start w:val="1"/>
      <w:numFmt w:val="decimal"/>
      <w:lvlText w:val="%1."/>
      <w:lvlJc w:val="left"/>
      <w:pPr>
        <w:ind w:left="720" w:hanging="360"/>
      </w:pPr>
      <w:rPr>
        <w:rFonts w:eastAsia="Times New Roman"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EB1281"/>
    <w:multiLevelType w:val="hybridMultilevel"/>
    <w:tmpl w:val="112C4226"/>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15:restartNumberingAfterBreak="0">
    <w:nsid w:val="577202FA"/>
    <w:multiLevelType w:val="hybridMultilevel"/>
    <w:tmpl w:val="6C8A5758"/>
    <w:lvl w:ilvl="0" w:tplc="DDC08822">
      <w:start w:val="1"/>
      <w:numFmt w:val="decimal"/>
      <w:lvlText w:val="%1."/>
      <w:lvlJc w:val="left"/>
      <w:pPr>
        <w:ind w:left="360" w:hanging="360"/>
      </w:pPr>
      <w:rPr>
        <w:rFonts w:hAnsi="Arial Unicode MS" w:hint="default"/>
        <w:b/>
        <w:i w:val="0"/>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B832D0">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1"/>
  </w:num>
  <w:num w:numId="7">
    <w:abstractNumId w:val="3"/>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33837"/>
    <w:rsid w:val="0003648B"/>
    <w:rsid w:val="00047D47"/>
    <w:rsid w:val="00051010"/>
    <w:rsid w:val="00064C7C"/>
    <w:rsid w:val="00064D12"/>
    <w:rsid w:val="00080138"/>
    <w:rsid w:val="00083196"/>
    <w:rsid w:val="00085EDB"/>
    <w:rsid w:val="0009506C"/>
    <w:rsid w:val="000957D0"/>
    <w:rsid w:val="00096CC2"/>
    <w:rsid w:val="000A17C5"/>
    <w:rsid w:val="000B09D7"/>
    <w:rsid w:val="000C780A"/>
    <w:rsid w:val="000D6B20"/>
    <w:rsid w:val="000E014C"/>
    <w:rsid w:val="000E1ACA"/>
    <w:rsid w:val="000F6EC0"/>
    <w:rsid w:val="00102360"/>
    <w:rsid w:val="00113C80"/>
    <w:rsid w:val="00113E8A"/>
    <w:rsid w:val="001240A5"/>
    <w:rsid w:val="00143E4A"/>
    <w:rsid w:val="00151D53"/>
    <w:rsid w:val="001553F5"/>
    <w:rsid w:val="0016014E"/>
    <w:rsid w:val="001604B4"/>
    <w:rsid w:val="0017117E"/>
    <w:rsid w:val="001725DC"/>
    <w:rsid w:val="001833A7"/>
    <w:rsid w:val="0018421D"/>
    <w:rsid w:val="001A7D89"/>
    <w:rsid w:val="001B19B4"/>
    <w:rsid w:val="001C23BB"/>
    <w:rsid w:val="001C3DD0"/>
    <w:rsid w:val="001C6366"/>
    <w:rsid w:val="001C66F8"/>
    <w:rsid w:val="001E5635"/>
    <w:rsid w:val="001F0E58"/>
    <w:rsid w:val="00205008"/>
    <w:rsid w:val="00224B9E"/>
    <w:rsid w:val="00241D8A"/>
    <w:rsid w:val="00252BB6"/>
    <w:rsid w:val="002616F1"/>
    <w:rsid w:val="002643E6"/>
    <w:rsid w:val="00270126"/>
    <w:rsid w:val="00273862"/>
    <w:rsid w:val="002770E2"/>
    <w:rsid w:val="002937C6"/>
    <w:rsid w:val="002961A1"/>
    <w:rsid w:val="002A3111"/>
    <w:rsid w:val="002B1FE5"/>
    <w:rsid w:val="002B30C5"/>
    <w:rsid w:val="002C4ACE"/>
    <w:rsid w:val="002D4033"/>
    <w:rsid w:val="002E3ED2"/>
    <w:rsid w:val="002F6834"/>
    <w:rsid w:val="002F79FF"/>
    <w:rsid w:val="00305CE0"/>
    <w:rsid w:val="00315772"/>
    <w:rsid w:val="003258B6"/>
    <w:rsid w:val="0032670C"/>
    <w:rsid w:val="0037144D"/>
    <w:rsid w:val="00377177"/>
    <w:rsid w:val="00384DBA"/>
    <w:rsid w:val="003855C9"/>
    <w:rsid w:val="003A0E53"/>
    <w:rsid w:val="003A31EF"/>
    <w:rsid w:val="003C37C6"/>
    <w:rsid w:val="003C7F8A"/>
    <w:rsid w:val="003E0648"/>
    <w:rsid w:val="003E1591"/>
    <w:rsid w:val="00410B42"/>
    <w:rsid w:val="00427B79"/>
    <w:rsid w:val="0045613E"/>
    <w:rsid w:val="0046231E"/>
    <w:rsid w:val="004633B7"/>
    <w:rsid w:val="00470840"/>
    <w:rsid w:val="004733AF"/>
    <w:rsid w:val="0048628E"/>
    <w:rsid w:val="004A5F86"/>
    <w:rsid w:val="004D1869"/>
    <w:rsid w:val="004F3ABB"/>
    <w:rsid w:val="004F4DA5"/>
    <w:rsid w:val="00522308"/>
    <w:rsid w:val="0052306C"/>
    <w:rsid w:val="005556CA"/>
    <w:rsid w:val="005650D9"/>
    <w:rsid w:val="00567957"/>
    <w:rsid w:val="00594E5C"/>
    <w:rsid w:val="005F30BC"/>
    <w:rsid w:val="0061188C"/>
    <w:rsid w:val="00617ACF"/>
    <w:rsid w:val="006319DC"/>
    <w:rsid w:val="006461FB"/>
    <w:rsid w:val="00680533"/>
    <w:rsid w:val="006A0BDD"/>
    <w:rsid w:val="006B39ED"/>
    <w:rsid w:val="006B7892"/>
    <w:rsid w:val="006F0A01"/>
    <w:rsid w:val="00720C60"/>
    <w:rsid w:val="00730193"/>
    <w:rsid w:val="007317E8"/>
    <w:rsid w:val="00740A46"/>
    <w:rsid w:val="00740DA3"/>
    <w:rsid w:val="00744BA1"/>
    <w:rsid w:val="00797A31"/>
    <w:rsid w:val="007A1EB0"/>
    <w:rsid w:val="007B2DD9"/>
    <w:rsid w:val="007D037D"/>
    <w:rsid w:val="007D03AB"/>
    <w:rsid w:val="007E48FF"/>
    <w:rsid w:val="00804A5D"/>
    <w:rsid w:val="00806194"/>
    <w:rsid w:val="008076C1"/>
    <w:rsid w:val="00807D77"/>
    <w:rsid w:val="00807E40"/>
    <w:rsid w:val="008216B4"/>
    <w:rsid w:val="00832B9B"/>
    <w:rsid w:val="0083488C"/>
    <w:rsid w:val="00835C8D"/>
    <w:rsid w:val="00843E5B"/>
    <w:rsid w:val="008747CB"/>
    <w:rsid w:val="008862D6"/>
    <w:rsid w:val="00894E97"/>
    <w:rsid w:val="008B30D3"/>
    <w:rsid w:val="008D08BE"/>
    <w:rsid w:val="008D4328"/>
    <w:rsid w:val="008E733E"/>
    <w:rsid w:val="008F2800"/>
    <w:rsid w:val="0090262D"/>
    <w:rsid w:val="00910ACA"/>
    <w:rsid w:val="009143F1"/>
    <w:rsid w:val="009175F3"/>
    <w:rsid w:val="00922197"/>
    <w:rsid w:val="00926F65"/>
    <w:rsid w:val="00931CD6"/>
    <w:rsid w:val="0098539C"/>
    <w:rsid w:val="00987C08"/>
    <w:rsid w:val="009A0D68"/>
    <w:rsid w:val="009A2D39"/>
    <w:rsid w:val="009A33F0"/>
    <w:rsid w:val="009B3A5C"/>
    <w:rsid w:val="009C7267"/>
    <w:rsid w:val="009C72FE"/>
    <w:rsid w:val="009D3396"/>
    <w:rsid w:val="009D3902"/>
    <w:rsid w:val="009F4960"/>
    <w:rsid w:val="009F6B96"/>
    <w:rsid w:val="009F7B67"/>
    <w:rsid w:val="00A22908"/>
    <w:rsid w:val="00A23B00"/>
    <w:rsid w:val="00A276D9"/>
    <w:rsid w:val="00A37A86"/>
    <w:rsid w:val="00A60C7E"/>
    <w:rsid w:val="00A82E8C"/>
    <w:rsid w:val="00A84374"/>
    <w:rsid w:val="00AA0FB7"/>
    <w:rsid w:val="00AB5892"/>
    <w:rsid w:val="00B16CE1"/>
    <w:rsid w:val="00B2190C"/>
    <w:rsid w:val="00B32C98"/>
    <w:rsid w:val="00B3675E"/>
    <w:rsid w:val="00B41044"/>
    <w:rsid w:val="00B516DB"/>
    <w:rsid w:val="00B62D68"/>
    <w:rsid w:val="00B73B30"/>
    <w:rsid w:val="00B83FC5"/>
    <w:rsid w:val="00B847EF"/>
    <w:rsid w:val="00B85B0B"/>
    <w:rsid w:val="00B9285A"/>
    <w:rsid w:val="00BA67DA"/>
    <w:rsid w:val="00BB4414"/>
    <w:rsid w:val="00BB488C"/>
    <w:rsid w:val="00BB48A7"/>
    <w:rsid w:val="00BC0AE2"/>
    <w:rsid w:val="00C130B3"/>
    <w:rsid w:val="00C43E73"/>
    <w:rsid w:val="00C4764C"/>
    <w:rsid w:val="00C544E1"/>
    <w:rsid w:val="00C547F0"/>
    <w:rsid w:val="00C602B8"/>
    <w:rsid w:val="00C6233A"/>
    <w:rsid w:val="00C753D8"/>
    <w:rsid w:val="00C878B6"/>
    <w:rsid w:val="00CA2B8E"/>
    <w:rsid w:val="00CA3D02"/>
    <w:rsid w:val="00CB2472"/>
    <w:rsid w:val="00CC3ACF"/>
    <w:rsid w:val="00CC7CC1"/>
    <w:rsid w:val="00CD53CB"/>
    <w:rsid w:val="00CF0462"/>
    <w:rsid w:val="00CF1560"/>
    <w:rsid w:val="00D0055C"/>
    <w:rsid w:val="00D05844"/>
    <w:rsid w:val="00D152FB"/>
    <w:rsid w:val="00D207EA"/>
    <w:rsid w:val="00D35B4C"/>
    <w:rsid w:val="00D51491"/>
    <w:rsid w:val="00D92BA5"/>
    <w:rsid w:val="00DB39B5"/>
    <w:rsid w:val="00DB53B7"/>
    <w:rsid w:val="00DC4358"/>
    <w:rsid w:val="00DD14BB"/>
    <w:rsid w:val="00DE60FA"/>
    <w:rsid w:val="00DE7A32"/>
    <w:rsid w:val="00DF782C"/>
    <w:rsid w:val="00E27A90"/>
    <w:rsid w:val="00E43E11"/>
    <w:rsid w:val="00E535E4"/>
    <w:rsid w:val="00E61519"/>
    <w:rsid w:val="00E6179D"/>
    <w:rsid w:val="00E82D3D"/>
    <w:rsid w:val="00E93266"/>
    <w:rsid w:val="00E97A4D"/>
    <w:rsid w:val="00EA7D41"/>
    <w:rsid w:val="00EB7AAD"/>
    <w:rsid w:val="00EC6B7E"/>
    <w:rsid w:val="00F01271"/>
    <w:rsid w:val="00F066CD"/>
    <w:rsid w:val="00F1169F"/>
    <w:rsid w:val="00F1403B"/>
    <w:rsid w:val="00F26CE5"/>
    <w:rsid w:val="00F30EE8"/>
    <w:rsid w:val="00F41722"/>
    <w:rsid w:val="00F42B04"/>
    <w:rsid w:val="00F45572"/>
    <w:rsid w:val="00F72355"/>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3A4D06A-02C3-4B37-AE7D-3A44C96F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normal11">
    <w:name w:val="Tabla normal 1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E5457-16DE-4918-9D88-5FCE72BA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5981</Words>
  <Characters>32900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2017-08-31T19:04:00Z</cp:lastPrinted>
  <dcterms:created xsi:type="dcterms:W3CDTF">2018-11-16T18:54:00Z</dcterms:created>
  <dcterms:modified xsi:type="dcterms:W3CDTF">2018-11-16T19:53:00Z</dcterms:modified>
</cp:coreProperties>
</file>